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X="-5" w:tblpY="270"/>
        <w:tblW w:w="5056" w:type="pct"/>
        <w:tblLayout w:type="fixed"/>
        <w:tblLook w:val="04A0" w:firstRow="1" w:lastRow="0" w:firstColumn="1" w:lastColumn="0" w:noHBand="0" w:noVBand="1"/>
      </w:tblPr>
      <w:tblGrid>
        <w:gridCol w:w="838"/>
        <w:gridCol w:w="13474"/>
        <w:gridCol w:w="1558"/>
      </w:tblGrid>
      <w:tr w:rsidR="00C50247" w:rsidTr="00C50247">
        <w:trPr>
          <w:trHeight w:val="354"/>
        </w:trPr>
        <w:tc>
          <w:tcPr>
            <w:tcW w:w="264" w:type="pct"/>
            <w:vMerge w:val="restart"/>
          </w:tcPr>
          <w:p w:rsidR="00C50247" w:rsidRPr="006A4314" w:rsidRDefault="00C50247" w:rsidP="006A431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A4314">
              <w:rPr>
                <w:rFonts w:cs="Arial"/>
                <w:b/>
                <w:sz w:val="20"/>
                <w:szCs w:val="20"/>
              </w:rPr>
              <w:t>Item</w:t>
            </w:r>
          </w:p>
        </w:tc>
        <w:tc>
          <w:tcPr>
            <w:tcW w:w="4245" w:type="pct"/>
            <w:vMerge w:val="restart"/>
          </w:tcPr>
          <w:p w:rsidR="00C50247" w:rsidRPr="006A4314" w:rsidRDefault="00C50247" w:rsidP="006A431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A4314">
              <w:rPr>
                <w:rFonts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491" w:type="pct"/>
            <w:vMerge w:val="restart"/>
          </w:tcPr>
          <w:p w:rsidR="00C50247" w:rsidRPr="006A4314" w:rsidRDefault="00C50247" w:rsidP="006A431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A4314">
              <w:rPr>
                <w:rFonts w:cs="Arial"/>
                <w:b/>
                <w:sz w:val="20"/>
                <w:szCs w:val="20"/>
              </w:rPr>
              <w:t>Unid. de Medida</w:t>
            </w:r>
          </w:p>
        </w:tc>
      </w:tr>
      <w:tr w:rsidR="00C50247" w:rsidTr="00C50247">
        <w:trPr>
          <w:trHeight w:val="294"/>
        </w:trPr>
        <w:tc>
          <w:tcPr>
            <w:tcW w:w="264" w:type="pct"/>
            <w:vMerge/>
          </w:tcPr>
          <w:p w:rsidR="00C50247" w:rsidRPr="001E4D89" w:rsidRDefault="00C50247" w:rsidP="00346F2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45" w:type="pct"/>
            <w:vMerge/>
          </w:tcPr>
          <w:p w:rsidR="00C50247" w:rsidRPr="001E4D89" w:rsidRDefault="00C50247" w:rsidP="00346F2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1" w:type="pct"/>
            <w:vMerge/>
          </w:tcPr>
          <w:p w:rsidR="00C50247" w:rsidRPr="001E4D89" w:rsidRDefault="00C50247" w:rsidP="00346F2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EF6D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EF6DEA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 xml:space="preserve">Alicate para corte de unhas- corte reto: Alicate para corte de unhas em aço inox, com mola resistente,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esterelizável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 e afiado. Uso profissional e que seja possível amolação.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EF6DE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 xml:space="preserve">Alicate </w:t>
            </w:r>
            <w:r>
              <w:rPr>
                <w:color w:val="000000"/>
                <w:sz w:val="18"/>
                <w:szCs w:val="18"/>
              </w:rPr>
              <w:t>para cutícula- Uso profissional</w:t>
            </w:r>
            <w:r w:rsidRPr="001E4D89">
              <w:rPr>
                <w:color w:val="000000"/>
                <w:sz w:val="18"/>
                <w:szCs w:val="18"/>
              </w:rPr>
              <w:t xml:space="preserve">, aço inoxidável, lâminas afiadas, cabo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antideslizante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>, esterilizável em autoclave.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 xml:space="preserve">Amolecedor de cutículas: Composto em parafina líquida, com agentes germicidas, ou bactericidas. Destinados para o trabalho de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cutilagem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 a seco. Embalagem 30 ml.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 xml:space="preserve">Base incolor: Base em característica líquida com viscosidade, cor transparente e secagem rápida. Frasco com mínimo de 08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mL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>Creme</w:t>
            </w:r>
            <w:r w:rsidR="00F10E8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10E84">
              <w:rPr>
                <w:color w:val="000000"/>
                <w:sz w:val="18"/>
                <w:szCs w:val="18"/>
              </w:rPr>
              <w:t>esfoliante</w:t>
            </w:r>
            <w:proofErr w:type="spellEnd"/>
            <w:r w:rsidR="00F10E84">
              <w:rPr>
                <w:color w:val="000000"/>
                <w:sz w:val="18"/>
                <w:szCs w:val="18"/>
              </w:rPr>
              <w:t xml:space="preserve"> para os pés - pote </w:t>
            </w:r>
            <w:r w:rsidRPr="001E4D89">
              <w:rPr>
                <w:color w:val="000000"/>
                <w:sz w:val="18"/>
                <w:szCs w:val="18"/>
              </w:rPr>
              <w:t xml:space="preserve">com mínimo de 100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grs</w:t>
            </w:r>
            <w:proofErr w:type="spellEnd"/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E4D89">
              <w:rPr>
                <w:color w:val="000000"/>
                <w:sz w:val="18"/>
                <w:szCs w:val="18"/>
              </w:rPr>
              <w:t>pct</w:t>
            </w:r>
            <w:proofErr w:type="spellEnd"/>
            <w:proofErr w:type="gram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1E4D89">
              <w:rPr>
                <w:rFonts w:cs="Arial"/>
                <w:sz w:val="18"/>
                <w:szCs w:val="18"/>
              </w:rPr>
              <w:t xml:space="preserve"> </w:t>
            </w:r>
            <w:r w:rsidRPr="006A431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4245" w:type="pct"/>
            <w:vAlign w:val="center"/>
          </w:tcPr>
          <w:p w:rsidR="00C50247" w:rsidRPr="001E4D89" w:rsidRDefault="00F10E84" w:rsidP="00185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Esmalte </w:t>
            </w:r>
            <w:proofErr w:type="spellStart"/>
            <w:r>
              <w:rPr>
                <w:color w:val="000000"/>
                <w:sz w:val="18"/>
                <w:szCs w:val="18"/>
              </w:rPr>
              <w:t>extra-brilho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C50247" w:rsidRPr="001E4D89">
              <w:rPr>
                <w:color w:val="000000"/>
                <w:sz w:val="18"/>
                <w:szCs w:val="18"/>
              </w:rPr>
              <w:t xml:space="preserve">a base de água, combinada com </w:t>
            </w:r>
            <w:proofErr w:type="spellStart"/>
            <w:r w:rsidR="00C50247" w:rsidRPr="001E4D89">
              <w:rPr>
                <w:color w:val="000000"/>
                <w:sz w:val="18"/>
                <w:szCs w:val="18"/>
              </w:rPr>
              <w:t>carbo-ximeticelulose</w:t>
            </w:r>
            <w:proofErr w:type="spellEnd"/>
            <w:r w:rsidR="00C50247" w:rsidRPr="001E4D89">
              <w:rPr>
                <w:color w:val="000000"/>
                <w:sz w:val="18"/>
                <w:szCs w:val="18"/>
              </w:rPr>
              <w:t xml:space="preserve">, acetato etílico, celulose, acetato de </w:t>
            </w:r>
            <w:proofErr w:type="spellStart"/>
            <w:r w:rsidR="00C50247" w:rsidRPr="001E4D89">
              <w:rPr>
                <w:color w:val="000000"/>
                <w:sz w:val="18"/>
                <w:szCs w:val="18"/>
              </w:rPr>
              <w:t>butirato</w:t>
            </w:r>
            <w:proofErr w:type="spellEnd"/>
            <w:r w:rsidR="00C50247" w:rsidRPr="001E4D89">
              <w:rPr>
                <w:color w:val="000000"/>
                <w:sz w:val="18"/>
                <w:szCs w:val="18"/>
              </w:rPr>
              <w:t xml:space="preserve">, 2,40álcool </w:t>
            </w:r>
            <w:proofErr w:type="spellStart"/>
            <w:r w:rsidR="00C50247" w:rsidRPr="001E4D89">
              <w:rPr>
                <w:color w:val="000000"/>
                <w:sz w:val="18"/>
                <w:szCs w:val="18"/>
              </w:rPr>
              <w:t>isopropil</w:t>
            </w:r>
            <w:proofErr w:type="spellEnd"/>
            <w:r w:rsidR="00C50247" w:rsidRPr="001E4D89">
              <w:rPr>
                <w:color w:val="000000"/>
                <w:sz w:val="18"/>
                <w:szCs w:val="18"/>
              </w:rPr>
              <w:t xml:space="preserve">, etílico tosilato, </w:t>
            </w:r>
            <w:proofErr w:type="spellStart"/>
            <w:r w:rsidR="00C50247" w:rsidRPr="001E4D89">
              <w:rPr>
                <w:color w:val="000000"/>
                <w:sz w:val="18"/>
                <w:szCs w:val="18"/>
              </w:rPr>
              <w:t>tripolifosfato</w:t>
            </w:r>
            <w:proofErr w:type="spellEnd"/>
            <w:r w:rsidR="00C50247" w:rsidRPr="001E4D89">
              <w:rPr>
                <w:color w:val="000000"/>
                <w:sz w:val="18"/>
                <w:szCs w:val="18"/>
              </w:rPr>
              <w:t xml:space="preserve"> de sódio. Frasco com mínimo de 08 ml.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 xml:space="preserve">Esmaltes cintilantes: a base de água, combinada com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carbo-ximeticelulose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, acetato etílico, celulose, acetato de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butirato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, álcool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isopropil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, etílico tosilato,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tripolifosfato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 de sódio. Frasco com mínimo de 08 ml. Cores variadas.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>Frasco</w:t>
            </w:r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 xml:space="preserve">Esmaltes cremosos: a base de água, combinada com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carbo-ximeticelulose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, acetato etílico, celulose, acetato de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butirato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, álcool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isopropil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, etílico tosilato,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tripolifosfato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 de sódio. Frasco com mínimo de 08 ml. Cores variadas.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 xml:space="preserve">Esmaltes foscos: a base de água, combinada com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carbo-ximeticelulose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, acetato etílico, celulose, acetato de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butirato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, álcool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isopropil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, etílico tosilato,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tripolifosfato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 de sódio. Frasco com mínimo de 08 ml. Cores variadas.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 xml:space="preserve">Esmaltes Perolados: a base de água, combinada com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carbo-ximeticelulose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, acetato etílico, celulose, acetato de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butirato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, álcool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isopropil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, etílico tosilato,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tripolifosfato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 de sódio. Frasco com mínimo de 08 ml. Cores variadas.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>Frasco</w:t>
            </w:r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 xml:space="preserve">Esmaltes Transparente: a base de água, combinada com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carbo-ximeticelulose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, acetato etílico, celulose, acetato de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butirato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, álcool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isopropil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, etílico tosilato,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tripolifosfato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 de sódio. Frasco com mínimo de 08 ml.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>Espátula para cutícula de uso profissional, instrumento de ponta dupla empurrador e raspador, todo em metal aço inoxidável, cabo com textura aderente, esterilizável em autoclave.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>Hidra</w:t>
            </w:r>
            <w:r w:rsidR="00F10E84">
              <w:rPr>
                <w:color w:val="000000"/>
                <w:sz w:val="18"/>
                <w:szCs w:val="18"/>
              </w:rPr>
              <w:t xml:space="preserve">tante para as mãos: Hidratante </w:t>
            </w:r>
            <w:r w:rsidRPr="001E4D89">
              <w:rPr>
                <w:color w:val="000000"/>
                <w:sz w:val="18"/>
                <w:szCs w:val="18"/>
              </w:rPr>
              <w:t xml:space="preserve">microcápsulas de vitamina A e </w:t>
            </w:r>
            <w:proofErr w:type="spellStart"/>
            <w:proofErr w:type="gramStart"/>
            <w:r w:rsidRPr="001E4D89">
              <w:rPr>
                <w:color w:val="000000"/>
                <w:sz w:val="18"/>
                <w:szCs w:val="18"/>
              </w:rPr>
              <w:t>E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1E4D89">
              <w:rPr>
                <w:color w:val="000000"/>
                <w:sz w:val="18"/>
                <w:szCs w:val="18"/>
              </w:rPr>
              <w:t xml:space="preserve"> Embalagem com mínimo de 50 gramas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>Hidratante para os pés: Creme hidratante baseado em lanolina para pele seca. Pote 250 gramas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>Lixa fecha poros: Lixa confeccionada em espuma com um componente abrasivo e plástico.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6A431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>Lixa polidora de unha: Bloco com 03 faces destinados a polir unhas, lavável e reutilizável composição: Lixa, espuma e cola.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E4D89">
              <w:rPr>
                <w:color w:val="000000"/>
                <w:sz w:val="18"/>
                <w:szCs w:val="18"/>
              </w:rPr>
              <w:t>mini</w:t>
            </w:r>
            <w:proofErr w:type="gramEnd"/>
            <w:r w:rsidRPr="001E4D89">
              <w:rPr>
                <w:color w:val="000000"/>
                <w:sz w:val="18"/>
                <w:szCs w:val="18"/>
              </w:rPr>
              <w:t>-lixas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 de unhas, pacote com mínimo 100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E4D89">
              <w:rPr>
                <w:color w:val="000000"/>
                <w:sz w:val="18"/>
                <w:szCs w:val="18"/>
              </w:rPr>
              <w:t>pct</w:t>
            </w:r>
            <w:proofErr w:type="spellEnd"/>
            <w:proofErr w:type="gram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 xml:space="preserve">Óleo Secante: Fluido oleoso composto de parafina líquida destinado a promover a secagem acelerada do esmalte. Semelhante ao frasco do esmalte, contém 01 aplicador com cerdas em pincel. Frasco com no mínimo 08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mL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>Palito de metal, uso profissional, em aço inoxidável.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 xml:space="preserve">Pó-hemostático cicatrizante, embalagem com 15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grs</w:t>
            </w:r>
            <w:proofErr w:type="spellEnd"/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E4D89">
              <w:rPr>
                <w:color w:val="000000"/>
                <w:sz w:val="18"/>
                <w:szCs w:val="18"/>
              </w:rPr>
              <w:t>pct</w:t>
            </w:r>
            <w:proofErr w:type="spellEnd"/>
            <w:proofErr w:type="gram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 xml:space="preserve">Porta acetona: Aplicador em </w:t>
            </w:r>
            <w:r w:rsidR="00F10E84">
              <w:rPr>
                <w:color w:val="000000"/>
                <w:sz w:val="18"/>
                <w:szCs w:val="18"/>
              </w:rPr>
              <w:t>PVC com tampa dosadora com mola</w:t>
            </w:r>
            <w:r w:rsidRPr="001E4D8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>Porta algodão: Confeccionado em PVC, com furo na tampa para a retirada do algodão.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>Protetor para bacia manicure. Produto de uso único-descartável. Pacote com 50 unidades.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E4D89">
              <w:rPr>
                <w:color w:val="000000"/>
                <w:sz w:val="18"/>
                <w:szCs w:val="18"/>
              </w:rPr>
              <w:t>pct</w:t>
            </w:r>
            <w:proofErr w:type="spellEnd"/>
            <w:proofErr w:type="gram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24</w:t>
            </w:r>
          </w:p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45" w:type="pct"/>
            <w:vAlign w:val="center"/>
          </w:tcPr>
          <w:p w:rsidR="00C50247" w:rsidRPr="001E4D89" w:rsidRDefault="00F10E84" w:rsidP="00185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Protetor para bacia </w:t>
            </w:r>
            <w:proofErr w:type="spellStart"/>
            <w:r>
              <w:rPr>
                <w:color w:val="000000"/>
                <w:sz w:val="18"/>
                <w:szCs w:val="18"/>
              </w:rPr>
              <w:t>p</w:t>
            </w:r>
            <w:r w:rsidR="00C50247" w:rsidRPr="001E4D89">
              <w:rPr>
                <w:color w:val="000000"/>
                <w:sz w:val="18"/>
                <w:szCs w:val="18"/>
              </w:rPr>
              <w:t>edicure</w:t>
            </w:r>
            <w:proofErr w:type="spellEnd"/>
            <w:r w:rsidR="00C50247" w:rsidRPr="001E4D89">
              <w:rPr>
                <w:color w:val="000000"/>
                <w:sz w:val="18"/>
                <w:szCs w:val="18"/>
              </w:rPr>
              <w:t>. Produto de uso único-descartável. Pacote com 50 unidades.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E4D89">
              <w:rPr>
                <w:color w:val="000000"/>
                <w:sz w:val="18"/>
                <w:szCs w:val="18"/>
              </w:rPr>
              <w:t>pct</w:t>
            </w:r>
            <w:proofErr w:type="spellEnd"/>
            <w:proofErr w:type="gram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 xml:space="preserve">Removedor acetona: Produto a base de acetona, álcool, aspecto líquido. Prazo de validade mínimo deve ser de 12 meses a partir da data de entrega. Frasco com 500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mL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 xml:space="preserve"> cada unidade.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 xml:space="preserve">Spray secante para esmaltes: Tubo com mínimo de 400 </w:t>
            </w:r>
            <w:proofErr w:type="spellStart"/>
            <w:r w:rsidRPr="001E4D89">
              <w:rPr>
                <w:color w:val="000000"/>
                <w:sz w:val="18"/>
                <w:szCs w:val="18"/>
              </w:rPr>
              <w:t>mL</w:t>
            </w:r>
            <w:proofErr w:type="spellEnd"/>
            <w:r w:rsidRPr="001E4D8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</w:tr>
      <w:tr w:rsidR="00C50247" w:rsidTr="00C50247">
        <w:trPr>
          <w:trHeight w:val="225"/>
        </w:trPr>
        <w:tc>
          <w:tcPr>
            <w:tcW w:w="264" w:type="pct"/>
          </w:tcPr>
          <w:p w:rsidR="00C50247" w:rsidRPr="001E4D89" w:rsidRDefault="00C50247" w:rsidP="001854AB">
            <w:pPr>
              <w:jc w:val="center"/>
              <w:rPr>
                <w:rFonts w:cs="Arial"/>
                <w:sz w:val="18"/>
                <w:szCs w:val="18"/>
              </w:rPr>
            </w:pPr>
            <w:r w:rsidRPr="001E4D89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4245" w:type="pct"/>
            <w:vAlign w:val="center"/>
          </w:tcPr>
          <w:p w:rsidR="00C50247" w:rsidRPr="001E4D89" w:rsidRDefault="00C50247" w:rsidP="001854AB">
            <w:pPr>
              <w:rPr>
                <w:color w:val="000000"/>
                <w:sz w:val="18"/>
                <w:szCs w:val="18"/>
              </w:rPr>
            </w:pPr>
            <w:r w:rsidRPr="001E4D89">
              <w:rPr>
                <w:color w:val="000000"/>
                <w:sz w:val="18"/>
                <w:szCs w:val="18"/>
              </w:rPr>
              <w:t>Toalhas manicure: Tamanho 20x36 cm, 100% algodão, de cor branca e resistente a várias lavagens.</w:t>
            </w:r>
          </w:p>
        </w:tc>
        <w:tc>
          <w:tcPr>
            <w:tcW w:w="491" w:type="pct"/>
            <w:vAlign w:val="center"/>
          </w:tcPr>
          <w:p w:rsidR="00C50247" w:rsidRPr="001E4D89" w:rsidRDefault="00C50247" w:rsidP="001854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4D89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</w:tbl>
    <w:p w:rsidR="007524BF" w:rsidRPr="00CA2AFE" w:rsidRDefault="009869AD" w:rsidP="00E4607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ANEXO 01 - LOTE 01 - CURSO MANICURE</w:t>
      </w:r>
      <w:bookmarkStart w:id="0" w:name="_GoBack"/>
      <w:bookmarkEnd w:id="0"/>
    </w:p>
    <w:sectPr w:rsidR="007524BF" w:rsidRPr="00CA2AFE" w:rsidSect="00E4607A">
      <w:headerReference w:type="default" r:id="rId8"/>
      <w:footerReference w:type="default" r:id="rId9"/>
      <w:type w:val="continuous"/>
      <w:pgSz w:w="16838" w:h="11906" w:orient="landscape"/>
      <w:pgMar w:top="1418" w:right="567" w:bottom="1134" w:left="567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692" w:rsidRDefault="00343692" w:rsidP="007212AF">
      <w:pPr>
        <w:spacing w:after="0" w:line="240" w:lineRule="auto"/>
      </w:pPr>
      <w:r>
        <w:separator/>
      </w:r>
    </w:p>
  </w:endnote>
  <w:endnote w:type="continuationSeparator" w:id="0">
    <w:p w:rsidR="00343692" w:rsidRDefault="00343692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9" w:type="pct"/>
      <w:tblCellSpacing w:w="0" w:type="dxa"/>
      <w:tblInd w:w="-67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Layout w:type="fixed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2014"/>
      <w:gridCol w:w="2766"/>
      <w:gridCol w:w="2534"/>
      <w:gridCol w:w="2534"/>
      <w:gridCol w:w="2078"/>
      <w:gridCol w:w="2993"/>
      <w:gridCol w:w="1017"/>
    </w:tblGrid>
    <w:tr w:rsidR="00C72BBC" w:rsidRPr="00653C6C" w:rsidTr="001E4D89">
      <w:trPr>
        <w:trHeight w:val="71"/>
        <w:tblCellSpacing w:w="0" w:type="dxa"/>
      </w:trPr>
      <w:tc>
        <w:tcPr>
          <w:tcW w:w="63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Data de Aprovação</w:t>
          </w:r>
        </w:p>
      </w:tc>
      <w:tc>
        <w:tcPr>
          <w:tcW w:w="86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Armazenamento</w:t>
          </w:r>
        </w:p>
      </w:tc>
      <w:tc>
        <w:tcPr>
          <w:tcW w:w="79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Proteção</w:t>
          </w:r>
        </w:p>
      </w:tc>
      <w:tc>
        <w:tcPr>
          <w:tcW w:w="79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Recuperação</w:t>
          </w:r>
        </w:p>
      </w:tc>
      <w:tc>
        <w:tcPr>
          <w:tcW w:w="65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Retenção</w:t>
          </w:r>
        </w:p>
      </w:tc>
      <w:tc>
        <w:tcPr>
          <w:tcW w:w="939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Disposição do Registro</w:t>
          </w:r>
        </w:p>
      </w:tc>
      <w:tc>
        <w:tcPr>
          <w:tcW w:w="319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3E7FC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Página</w:t>
          </w:r>
        </w:p>
      </w:tc>
    </w:tr>
    <w:tr w:rsidR="00C72BBC" w:rsidRPr="00653C6C" w:rsidTr="001E4D89">
      <w:trPr>
        <w:trHeight w:val="89"/>
        <w:tblCellSpacing w:w="0" w:type="dxa"/>
      </w:trPr>
      <w:tc>
        <w:tcPr>
          <w:tcW w:w="63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1333D0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26/01/15</w:t>
          </w:r>
        </w:p>
      </w:tc>
      <w:tc>
        <w:tcPr>
          <w:tcW w:w="86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Em processo</w:t>
          </w:r>
        </w:p>
      </w:tc>
      <w:tc>
        <w:tcPr>
          <w:tcW w:w="79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Unidades</w:t>
          </w:r>
        </w:p>
      </w:tc>
      <w:tc>
        <w:tcPr>
          <w:tcW w:w="79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48583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Por Unidade</w:t>
          </w:r>
        </w:p>
      </w:tc>
      <w:tc>
        <w:tcPr>
          <w:tcW w:w="65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Permanente</w:t>
          </w:r>
        </w:p>
      </w:tc>
      <w:tc>
        <w:tcPr>
          <w:tcW w:w="939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Arquivo Geral </w:t>
          </w:r>
        </w:p>
      </w:tc>
      <w:tc>
        <w:tcPr>
          <w:tcW w:w="319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begin"/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instrText>PAGE   \* MERGEFORMAT</w:instrTex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separate"/>
          </w:r>
          <w:r w:rsidR="00E4607A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pt-BR"/>
            </w:rPr>
            <w:t>1</w: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end"/>
          </w:r>
        </w:p>
      </w:tc>
    </w:tr>
  </w:tbl>
  <w:p w:rsidR="00C72BBC" w:rsidRDefault="00C72BBC" w:rsidP="005B02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692" w:rsidRDefault="00343692" w:rsidP="007212AF">
      <w:pPr>
        <w:spacing w:after="0" w:line="240" w:lineRule="auto"/>
      </w:pPr>
      <w:r>
        <w:separator/>
      </w:r>
    </w:p>
  </w:footnote>
  <w:footnote w:type="continuationSeparator" w:id="0">
    <w:p w:rsidR="00343692" w:rsidRDefault="00343692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935" w:type="dxa"/>
      <w:tblCellSpacing w:w="0" w:type="dxa"/>
      <w:tblInd w:w="-67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765"/>
      <w:gridCol w:w="13552"/>
      <w:gridCol w:w="1618"/>
    </w:tblGrid>
    <w:tr w:rsidR="00C72BBC" w:rsidRPr="00653C6C" w:rsidTr="001E4D89">
      <w:trPr>
        <w:trHeight w:val="727"/>
        <w:tblCellSpacing w:w="0" w:type="dxa"/>
      </w:trPr>
      <w:tc>
        <w:tcPr>
          <w:tcW w:w="765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51506413" wp14:editId="141C1D86">
                <wp:extent cx="323850" cy="433705"/>
                <wp:effectExtent l="0" t="0" r="0" b="4445"/>
                <wp:docPr id="1" name="Imagem 1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proofErr w:type="gramStart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de  Agricultura, Pecuária e Irrigação</w:t>
          </w:r>
        </w:p>
        <w:p w:rsidR="00C72BBC" w:rsidRDefault="00C72BBC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Planilha de Custo</w:t>
          </w:r>
        </w:p>
      </w:tc>
      <w:tc>
        <w:tcPr>
          <w:tcW w:w="1618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C72BBC" w:rsidRPr="003E7FC4" w:rsidRDefault="00C72BBC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RE 034-00</w:t>
          </w:r>
        </w:p>
      </w:tc>
    </w:tr>
  </w:tbl>
  <w:p w:rsidR="00C72BBC" w:rsidRDefault="00C72BBC" w:rsidP="005A01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6F49"/>
    <w:multiLevelType w:val="hybridMultilevel"/>
    <w:tmpl w:val="36EC8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A66"/>
    <w:multiLevelType w:val="hybridMultilevel"/>
    <w:tmpl w:val="AA864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4D6F"/>
    <w:multiLevelType w:val="hybridMultilevel"/>
    <w:tmpl w:val="1E0AA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9A"/>
    <w:multiLevelType w:val="hybridMultilevel"/>
    <w:tmpl w:val="FF82D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094"/>
    <w:multiLevelType w:val="multilevel"/>
    <w:tmpl w:val="EFC88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12A4E4E"/>
    <w:multiLevelType w:val="hybridMultilevel"/>
    <w:tmpl w:val="0F6AC77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1456F"/>
    <w:multiLevelType w:val="hybridMultilevel"/>
    <w:tmpl w:val="49583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BCA"/>
    <w:multiLevelType w:val="hybridMultilevel"/>
    <w:tmpl w:val="5BF05A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D125F2C"/>
    <w:multiLevelType w:val="hybridMultilevel"/>
    <w:tmpl w:val="C352B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50D"/>
    <w:multiLevelType w:val="multilevel"/>
    <w:tmpl w:val="C1989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C23CC3"/>
    <w:multiLevelType w:val="hybridMultilevel"/>
    <w:tmpl w:val="96164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0711C"/>
    <w:rsid w:val="000123BD"/>
    <w:rsid w:val="000211CA"/>
    <w:rsid w:val="00046F54"/>
    <w:rsid w:val="000473D7"/>
    <w:rsid w:val="00053D13"/>
    <w:rsid w:val="00055547"/>
    <w:rsid w:val="00056E17"/>
    <w:rsid w:val="00071E61"/>
    <w:rsid w:val="00073FF0"/>
    <w:rsid w:val="000907DC"/>
    <w:rsid w:val="000908D4"/>
    <w:rsid w:val="00096BC9"/>
    <w:rsid w:val="000A16EE"/>
    <w:rsid w:val="000C0D35"/>
    <w:rsid w:val="000C7F85"/>
    <w:rsid w:val="000E572A"/>
    <w:rsid w:val="000E7811"/>
    <w:rsid w:val="00105CFE"/>
    <w:rsid w:val="00115237"/>
    <w:rsid w:val="001222C6"/>
    <w:rsid w:val="001333D0"/>
    <w:rsid w:val="00145CAB"/>
    <w:rsid w:val="00180148"/>
    <w:rsid w:val="001854AB"/>
    <w:rsid w:val="00192F4A"/>
    <w:rsid w:val="001A5E76"/>
    <w:rsid w:val="001A615C"/>
    <w:rsid w:val="001C0574"/>
    <w:rsid w:val="001C19DA"/>
    <w:rsid w:val="001E4D89"/>
    <w:rsid w:val="002012F5"/>
    <w:rsid w:val="0021215F"/>
    <w:rsid w:val="0021235F"/>
    <w:rsid w:val="00226606"/>
    <w:rsid w:val="0023245E"/>
    <w:rsid w:val="0024263D"/>
    <w:rsid w:val="00246BC4"/>
    <w:rsid w:val="00254769"/>
    <w:rsid w:val="00256D95"/>
    <w:rsid w:val="0028640A"/>
    <w:rsid w:val="00286AC5"/>
    <w:rsid w:val="00297BF0"/>
    <w:rsid w:val="002B6EB4"/>
    <w:rsid w:val="002C54CC"/>
    <w:rsid w:val="002D6E1B"/>
    <w:rsid w:val="002D7291"/>
    <w:rsid w:val="002E3F03"/>
    <w:rsid w:val="002F7D14"/>
    <w:rsid w:val="003005A0"/>
    <w:rsid w:val="00314333"/>
    <w:rsid w:val="0031447D"/>
    <w:rsid w:val="00316839"/>
    <w:rsid w:val="003175CF"/>
    <w:rsid w:val="003434D4"/>
    <w:rsid w:val="00343692"/>
    <w:rsid w:val="00346F2B"/>
    <w:rsid w:val="0034747E"/>
    <w:rsid w:val="00366DBE"/>
    <w:rsid w:val="0038187B"/>
    <w:rsid w:val="0038536A"/>
    <w:rsid w:val="00393267"/>
    <w:rsid w:val="00395705"/>
    <w:rsid w:val="003A2962"/>
    <w:rsid w:val="003B1EB0"/>
    <w:rsid w:val="003B38C6"/>
    <w:rsid w:val="003B64B7"/>
    <w:rsid w:val="003E6F4F"/>
    <w:rsid w:val="003E7FC4"/>
    <w:rsid w:val="003F1B7E"/>
    <w:rsid w:val="003F3B18"/>
    <w:rsid w:val="00406D05"/>
    <w:rsid w:val="00412B9A"/>
    <w:rsid w:val="004238AB"/>
    <w:rsid w:val="004251BC"/>
    <w:rsid w:val="00434622"/>
    <w:rsid w:val="0043543D"/>
    <w:rsid w:val="00442D96"/>
    <w:rsid w:val="0044600B"/>
    <w:rsid w:val="00451DC5"/>
    <w:rsid w:val="004534E0"/>
    <w:rsid w:val="00477B45"/>
    <w:rsid w:val="00485839"/>
    <w:rsid w:val="004879ED"/>
    <w:rsid w:val="004D6D58"/>
    <w:rsid w:val="004E089C"/>
    <w:rsid w:val="0050510E"/>
    <w:rsid w:val="00524B30"/>
    <w:rsid w:val="00530DC6"/>
    <w:rsid w:val="00531DEC"/>
    <w:rsid w:val="005324B5"/>
    <w:rsid w:val="00532F62"/>
    <w:rsid w:val="0053395E"/>
    <w:rsid w:val="005423D3"/>
    <w:rsid w:val="005471A7"/>
    <w:rsid w:val="00547AE9"/>
    <w:rsid w:val="00552092"/>
    <w:rsid w:val="00567E12"/>
    <w:rsid w:val="00567F7A"/>
    <w:rsid w:val="005709A8"/>
    <w:rsid w:val="00580BF7"/>
    <w:rsid w:val="005840D6"/>
    <w:rsid w:val="00585D97"/>
    <w:rsid w:val="00595832"/>
    <w:rsid w:val="005A0168"/>
    <w:rsid w:val="005A73FB"/>
    <w:rsid w:val="005B0264"/>
    <w:rsid w:val="005E4177"/>
    <w:rsid w:val="005E47AF"/>
    <w:rsid w:val="00616E2A"/>
    <w:rsid w:val="00616E61"/>
    <w:rsid w:val="00621FA8"/>
    <w:rsid w:val="00624385"/>
    <w:rsid w:val="006336AA"/>
    <w:rsid w:val="006771DE"/>
    <w:rsid w:val="00677BD1"/>
    <w:rsid w:val="006866A4"/>
    <w:rsid w:val="00687EA6"/>
    <w:rsid w:val="006A4314"/>
    <w:rsid w:val="006A7795"/>
    <w:rsid w:val="006B54A5"/>
    <w:rsid w:val="006B780E"/>
    <w:rsid w:val="006C3933"/>
    <w:rsid w:val="006C476A"/>
    <w:rsid w:val="006C5311"/>
    <w:rsid w:val="006E3E40"/>
    <w:rsid w:val="006E6FAD"/>
    <w:rsid w:val="007031F6"/>
    <w:rsid w:val="00705468"/>
    <w:rsid w:val="0071209A"/>
    <w:rsid w:val="007168EE"/>
    <w:rsid w:val="007212AF"/>
    <w:rsid w:val="00731B6D"/>
    <w:rsid w:val="00731F0C"/>
    <w:rsid w:val="00751A42"/>
    <w:rsid w:val="007524BF"/>
    <w:rsid w:val="00754707"/>
    <w:rsid w:val="00775B8A"/>
    <w:rsid w:val="007808FA"/>
    <w:rsid w:val="0078342F"/>
    <w:rsid w:val="00785C95"/>
    <w:rsid w:val="007921BC"/>
    <w:rsid w:val="007A78C2"/>
    <w:rsid w:val="007A7D52"/>
    <w:rsid w:val="007E1D8F"/>
    <w:rsid w:val="007E700D"/>
    <w:rsid w:val="007F2A69"/>
    <w:rsid w:val="008162E6"/>
    <w:rsid w:val="00820F89"/>
    <w:rsid w:val="00825101"/>
    <w:rsid w:val="008425D0"/>
    <w:rsid w:val="00852B00"/>
    <w:rsid w:val="00866B9A"/>
    <w:rsid w:val="00866DAD"/>
    <w:rsid w:val="00872375"/>
    <w:rsid w:val="0087453B"/>
    <w:rsid w:val="00893545"/>
    <w:rsid w:val="00897E44"/>
    <w:rsid w:val="008A0E1F"/>
    <w:rsid w:val="008A2D41"/>
    <w:rsid w:val="008C58E6"/>
    <w:rsid w:val="008D5130"/>
    <w:rsid w:val="008D622E"/>
    <w:rsid w:val="008E24A8"/>
    <w:rsid w:val="008E4C84"/>
    <w:rsid w:val="008F303C"/>
    <w:rsid w:val="009114FC"/>
    <w:rsid w:val="0093014F"/>
    <w:rsid w:val="0093059F"/>
    <w:rsid w:val="0093267B"/>
    <w:rsid w:val="00941958"/>
    <w:rsid w:val="009435F0"/>
    <w:rsid w:val="00955B26"/>
    <w:rsid w:val="0095617D"/>
    <w:rsid w:val="00960850"/>
    <w:rsid w:val="009628D2"/>
    <w:rsid w:val="009777F4"/>
    <w:rsid w:val="009869AD"/>
    <w:rsid w:val="009A01C8"/>
    <w:rsid w:val="009B037F"/>
    <w:rsid w:val="009D5007"/>
    <w:rsid w:val="009E4F6F"/>
    <w:rsid w:val="009F50FE"/>
    <w:rsid w:val="00A001DC"/>
    <w:rsid w:val="00A20C47"/>
    <w:rsid w:val="00A224BF"/>
    <w:rsid w:val="00A257D1"/>
    <w:rsid w:val="00A30725"/>
    <w:rsid w:val="00A33715"/>
    <w:rsid w:val="00A5022F"/>
    <w:rsid w:val="00A52D4D"/>
    <w:rsid w:val="00A61492"/>
    <w:rsid w:val="00A636BC"/>
    <w:rsid w:val="00A63AD5"/>
    <w:rsid w:val="00A753A1"/>
    <w:rsid w:val="00A761CF"/>
    <w:rsid w:val="00AA54B1"/>
    <w:rsid w:val="00AC538C"/>
    <w:rsid w:val="00AD55F7"/>
    <w:rsid w:val="00AD7206"/>
    <w:rsid w:val="00AF0C0D"/>
    <w:rsid w:val="00B01741"/>
    <w:rsid w:val="00B02A6B"/>
    <w:rsid w:val="00B03803"/>
    <w:rsid w:val="00B03E6D"/>
    <w:rsid w:val="00B07491"/>
    <w:rsid w:val="00B145AC"/>
    <w:rsid w:val="00B3148C"/>
    <w:rsid w:val="00B33F0D"/>
    <w:rsid w:val="00B37D07"/>
    <w:rsid w:val="00B53205"/>
    <w:rsid w:val="00B55124"/>
    <w:rsid w:val="00B75A06"/>
    <w:rsid w:val="00B76F8B"/>
    <w:rsid w:val="00B86EDF"/>
    <w:rsid w:val="00B9035B"/>
    <w:rsid w:val="00B97D86"/>
    <w:rsid w:val="00BA7668"/>
    <w:rsid w:val="00BC5547"/>
    <w:rsid w:val="00BD3F2D"/>
    <w:rsid w:val="00BD6E74"/>
    <w:rsid w:val="00BE6938"/>
    <w:rsid w:val="00C10C6B"/>
    <w:rsid w:val="00C14DDB"/>
    <w:rsid w:val="00C21E92"/>
    <w:rsid w:val="00C432B2"/>
    <w:rsid w:val="00C50247"/>
    <w:rsid w:val="00C57B48"/>
    <w:rsid w:val="00C72BBC"/>
    <w:rsid w:val="00CA2AFE"/>
    <w:rsid w:val="00CB2862"/>
    <w:rsid w:val="00CE13F2"/>
    <w:rsid w:val="00D0765E"/>
    <w:rsid w:val="00D15518"/>
    <w:rsid w:val="00D17022"/>
    <w:rsid w:val="00D20302"/>
    <w:rsid w:val="00D40DF2"/>
    <w:rsid w:val="00D46A40"/>
    <w:rsid w:val="00D47A3E"/>
    <w:rsid w:val="00D55C38"/>
    <w:rsid w:val="00D60CBB"/>
    <w:rsid w:val="00D651F7"/>
    <w:rsid w:val="00D65FA4"/>
    <w:rsid w:val="00D67541"/>
    <w:rsid w:val="00D8472E"/>
    <w:rsid w:val="00DA1EFF"/>
    <w:rsid w:val="00DB3AEC"/>
    <w:rsid w:val="00DC5EFF"/>
    <w:rsid w:val="00DC7900"/>
    <w:rsid w:val="00DD35DC"/>
    <w:rsid w:val="00E0322E"/>
    <w:rsid w:val="00E037EC"/>
    <w:rsid w:val="00E06DFF"/>
    <w:rsid w:val="00E10D59"/>
    <w:rsid w:val="00E275FA"/>
    <w:rsid w:val="00E376C5"/>
    <w:rsid w:val="00E42084"/>
    <w:rsid w:val="00E4607A"/>
    <w:rsid w:val="00E517A1"/>
    <w:rsid w:val="00E51988"/>
    <w:rsid w:val="00E64249"/>
    <w:rsid w:val="00E70E0B"/>
    <w:rsid w:val="00E82323"/>
    <w:rsid w:val="00EA556D"/>
    <w:rsid w:val="00EB75D2"/>
    <w:rsid w:val="00EC4B9B"/>
    <w:rsid w:val="00ED1E63"/>
    <w:rsid w:val="00ED3205"/>
    <w:rsid w:val="00EF3C90"/>
    <w:rsid w:val="00EF6DEA"/>
    <w:rsid w:val="00F02A1D"/>
    <w:rsid w:val="00F04438"/>
    <w:rsid w:val="00F067A2"/>
    <w:rsid w:val="00F10E84"/>
    <w:rsid w:val="00F27B34"/>
    <w:rsid w:val="00F42FBF"/>
    <w:rsid w:val="00F45AB3"/>
    <w:rsid w:val="00F5085A"/>
    <w:rsid w:val="00F57146"/>
    <w:rsid w:val="00F6595D"/>
    <w:rsid w:val="00F715C5"/>
    <w:rsid w:val="00F85F40"/>
    <w:rsid w:val="00F9218A"/>
    <w:rsid w:val="00F93CD5"/>
    <w:rsid w:val="00F94207"/>
    <w:rsid w:val="00FA220A"/>
    <w:rsid w:val="00FA7333"/>
    <w:rsid w:val="00FB07A3"/>
    <w:rsid w:val="00FB6F2F"/>
    <w:rsid w:val="00FD0A95"/>
    <w:rsid w:val="00FD161E"/>
    <w:rsid w:val="00FD208D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E8C0F-90D5-4624-A2B5-F262C953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6C3933"/>
    <w:pPr>
      <w:ind w:left="720"/>
      <w:contextualSpacing/>
    </w:pPr>
  </w:style>
  <w:style w:type="paragraph" w:customStyle="1" w:styleId="western">
    <w:name w:val="western"/>
    <w:basedOn w:val="Normal"/>
    <w:rsid w:val="00A753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53A1"/>
    <w:rPr>
      <w:color w:val="0000FF" w:themeColor="hyperlink"/>
      <w:u w:val="single"/>
    </w:rPr>
  </w:style>
  <w:style w:type="table" w:customStyle="1" w:styleId="Calendrio1">
    <w:name w:val="Calendário 1"/>
    <w:basedOn w:val="Tabelanormal"/>
    <w:uiPriority w:val="99"/>
    <w:qFormat/>
    <w:rsid w:val="00A753A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CA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20BDF-588B-455D-B395-550AF8FF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Rangel Cesar</dc:creator>
  <cp:lastModifiedBy>Eliana Serafim de Sousa Damico</cp:lastModifiedBy>
  <cp:revision>8</cp:revision>
  <cp:lastPrinted>2015-07-24T20:34:00Z</cp:lastPrinted>
  <dcterms:created xsi:type="dcterms:W3CDTF">2015-07-23T21:05:00Z</dcterms:created>
  <dcterms:modified xsi:type="dcterms:W3CDTF">2015-07-24T20:35:00Z</dcterms:modified>
</cp:coreProperties>
</file>