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3373" w14:textId="77777777" w:rsidR="00307CAB" w:rsidRDefault="00555A61">
      <w:pPr>
        <w:pStyle w:val="Standard"/>
        <w:spacing w:before="100" w:after="100" w:line="360" w:lineRule="auto"/>
        <w:jc w:val="center"/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7151" wp14:editId="142F1B20">
                <wp:simplePos x="0" y="0"/>
                <wp:positionH relativeFrom="margin">
                  <wp:align>right</wp:align>
                </wp:positionH>
                <wp:positionV relativeFrom="paragraph">
                  <wp:posOffset>77467</wp:posOffset>
                </wp:positionV>
                <wp:extent cx="1743075" cy="275591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92DD5D" w14:textId="77777777" w:rsidR="00307CAB" w:rsidRDefault="00555A61">
                            <w:pPr>
                              <w:pStyle w:val="Tabl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CET.CDOT.001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 Ed. 03/2023</w:t>
                            </w:r>
                          </w:p>
                          <w:p w14:paraId="5A432D5F" w14:textId="77777777" w:rsidR="00307CAB" w:rsidRDefault="00307C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3087A0" w14:textId="77777777" w:rsidR="00307CAB" w:rsidRDefault="00307C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3715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6.05pt;margin-top:6.1pt;width:137.25pt;height:21.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" stroked="f">
                <v:textbox>
                  <w:txbxContent>
                    <w:p w14:paraId="6192DD5D" w14:textId="77777777" w:rsidR="00307CAB" w:rsidRDefault="00555A61">
                      <w:pPr>
                        <w:pStyle w:val="Tabl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CET.CDOT.001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 Ed. 03/2023</w:t>
                      </w:r>
                    </w:p>
                    <w:p w14:paraId="5A432D5F" w14:textId="77777777" w:rsidR="00307CAB" w:rsidRDefault="00307CA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E3087A0" w14:textId="77777777" w:rsidR="00307CAB" w:rsidRDefault="00307CA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4BEB6" w14:textId="77777777" w:rsidR="00307CAB" w:rsidRDefault="00555A61">
      <w:pPr>
        <w:pStyle w:val="Standard"/>
        <w:spacing w:before="100" w:after="100" w:line="360" w:lineRule="auto"/>
        <w:jc w:val="center"/>
      </w:pPr>
      <w:r>
        <w:rPr>
          <w:rFonts w:ascii="Arial" w:hAnsi="Arial" w:cs="Arial"/>
          <w:b/>
          <w:bCs/>
          <w:u w:val="single"/>
        </w:rPr>
        <w:t>TERMO DE RECUSA DE RIM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987"/>
        <w:gridCol w:w="1606"/>
        <w:gridCol w:w="3213"/>
      </w:tblGrid>
      <w:tr w:rsidR="00307CAB" w14:paraId="3BAC46F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5103B" w14:textId="77777777" w:rsidR="00307CAB" w:rsidRDefault="00555A61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RGCT: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C5F2D" w14:textId="77777777" w:rsidR="00307CAB" w:rsidRDefault="00555A61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Iniciais do doador:</w:t>
            </w:r>
          </w:p>
        </w:tc>
      </w:tr>
      <w:tr w:rsidR="00307CAB" w14:paraId="36FE7095" w14:textId="7777777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86A8" w14:textId="77777777" w:rsidR="00307CAB" w:rsidRDefault="00555A61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Idade:</w:t>
            </w:r>
          </w:p>
        </w:tc>
        <w:tc>
          <w:tcPr>
            <w:tcW w:w="359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C595" w14:textId="77777777" w:rsidR="00307CAB" w:rsidRDefault="00555A61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da Oferta: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A3D9" w14:textId="77777777" w:rsidR="00307CAB" w:rsidRDefault="00555A61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Hora:  </w:t>
            </w:r>
          </w:p>
        </w:tc>
      </w:tr>
      <w:tr w:rsidR="00307CAB" w14:paraId="45654D0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D92C" w14:textId="77777777" w:rsidR="00307CAB" w:rsidRDefault="00555A61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Lateralidade do rim</w:t>
            </w:r>
          </w:p>
        </w:tc>
      </w:tr>
      <w:tr w:rsidR="00307CAB" w14:paraId="4EE4447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97397" w14:textId="77777777" w:rsidR="00307CAB" w:rsidRDefault="00555A61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Direito </w:t>
            </w:r>
            <w:proofErr w:type="gramStart"/>
            <w:r>
              <w:rPr>
                <w:rFonts w:ascii="Arial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Esquerdo (  )</w:t>
            </w:r>
          </w:p>
        </w:tc>
      </w:tr>
    </w:tbl>
    <w:p w14:paraId="2623768E" w14:textId="77777777" w:rsidR="00307CAB" w:rsidRDefault="00307CAB">
      <w:pPr>
        <w:pStyle w:val="Standard"/>
        <w:jc w:val="center"/>
        <w:rPr>
          <w:rFonts w:ascii="Arial" w:hAnsi="Arial" w:cs="Arial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07CAB" w14:paraId="2BB32B9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D996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Recusa para todos os receptores do ranking?           SIM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                   NÃO (   )</w:t>
            </w:r>
          </w:p>
        </w:tc>
      </w:tr>
      <w:tr w:rsidR="00307CAB" w14:paraId="56AF2A5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BAFAD" w14:textId="77777777" w:rsidR="00307CAB" w:rsidRDefault="00555A61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Recusa </w:t>
            </w:r>
            <w:proofErr w:type="gramStart"/>
            <w:r>
              <w:rPr>
                <w:rFonts w:ascii="Arial" w:hAnsi="Arial" w:cs="Arial"/>
                <w:b/>
                <w:bCs/>
              </w:rPr>
              <w:t>para  qual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receptor?</w:t>
            </w:r>
          </w:p>
        </w:tc>
      </w:tr>
      <w:tr w:rsidR="00307CAB" w14:paraId="77337D2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7D859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 do potencial receptor:</w:t>
            </w:r>
          </w:p>
        </w:tc>
      </w:tr>
      <w:tr w:rsidR="00307CAB" w14:paraId="237EA62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7BE5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RGCT: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</w:t>
            </w:r>
          </w:p>
        </w:tc>
      </w:tr>
    </w:tbl>
    <w:p w14:paraId="4CBA1012" w14:textId="77777777" w:rsidR="00307CAB" w:rsidRDefault="00307CAB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07CAB" w14:paraId="4C4CF171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68D2" w14:textId="77777777" w:rsidR="00307CAB" w:rsidRDefault="00555A61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CRITÉRIOS DE RECUSA, CONFORME DETERMINAÇÃO DO SISTEMA NACIONAL DE TRANSPLANTES – SNT</w:t>
            </w:r>
          </w:p>
        </w:tc>
      </w:tr>
      <w:tr w:rsidR="00307CAB" w14:paraId="266D6825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75BE2" w14:textId="77777777" w:rsidR="00307CAB" w:rsidRDefault="00555A61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Condições do doador</w:t>
            </w:r>
          </w:p>
          <w:p w14:paraId="66ECD327" w14:textId="77777777" w:rsidR="00307CAB" w:rsidRDefault="00555A61">
            <w:pPr>
              <w:pStyle w:val="TableContents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(Marque com “x”)</w:t>
            </w:r>
          </w:p>
        </w:tc>
      </w:tr>
      <w:tr w:rsidR="00307CAB" w14:paraId="12B6D19A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1946" w14:textId="77777777" w:rsidR="00307CAB" w:rsidRDefault="00555A61">
            <w:pPr>
              <w:pStyle w:val="TableContents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Alterações laboratoriais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3775C" w14:textId="77777777" w:rsidR="00307CAB" w:rsidRDefault="00555A61">
            <w:pPr>
              <w:pStyle w:val="TableContents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Nefropatia</w:t>
            </w:r>
          </w:p>
        </w:tc>
      </w:tr>
      <w:tr w:rsidR="00307CAB" w14:paraId="393BF8A4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3B7DF" w14:textId="77777777" w:rsidR="00307CAB" w:rsidRDefault="00555A61">
            <w:pPr>
              <w:pStyle w:val="TableContents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Parada cardíaca do doador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19EF5" w14:textId="77777777" w:rsidR="00307CAB" w:rsidRDefault="00555A61">
            <w:pPr>
              <w:pStyle w:val="TableContents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Idade</w:t>
            </w:r>
          </w:p>
        </w:tc>
      </w:tr>
      <w:tr w:rsidR="00307CAB" w14:paraId="306152B0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E8B09" w14:textId="77777777" w:rsidR="00307CAB" w:rsidRDefault="00555A61">
            <w:pPr>
              <w:pStyle w:val="TableContents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Hipertensão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8C1D8" w14:textId="77777777" w:rsidR="00307CAB" w:rsidRDefault="00555A61">
            <w:pPr>
              <w:pStyle w:val="TableContents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Infecção</w:t>
            </w:r>
          </w:p>
        </w:tc>
      </w:tr>
      <w:tr w:rsidR="00307CAB" w14:paraId="6367A70B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DEDE6" w14:textId="77777777" w:rsidR="00307CAB" w:rsidRDefault="00555A61">
            <w:pPr>
              <w:pStyle w:val="TableContents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C60BA" w14:textId="77777777" w:rsidR="00307CAB" w:rsidRDefault="00555A61">
            <w:pPr>
              <w:pStyle w:val="TableContents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Instabilidade Hemodinâmica</w:t>
            </w:r>
          </w:p>
        </w:tc>
      </w:tr>
      <w:tr w:rsidR="00307CAB" w14:paraId="6CD9478D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04B48" w14:textId="77777777" w:rsidR="00307CAB" w:rsidRDefault="00555A61">
            <w:pPr>
              <w:pStyle w:val="TableContents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Droga vasopressora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4CD6A" w14:textId="77777777" w:rsidR="00307CAB" w:rsidRDefault="00555A61">
            <w:pPr>
              <w:pStyle w:val="TableContents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Sorologia positiva</w:t>
            </w:r>
          </w:p>
        </w:tc>
      </w:tr>
      <w:tr w:rsidR="00307CAB" w14:paraId="6DE6CF7B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AE993" w14:textId="77777777" w:rsidR="00307CAB" w:rsidRDefault="00555A61">
            <w:pPr>
              <w:pStyle w:val="TableContents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Idade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FA842" w14:textId="77777777" w:rsidR="00307CAB" w:rsidRDefault="00555A61">
            <w:pPr>
              <w:pStyle w:val="TableContents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</w:t>
            </w:r>
            <w:r>
              <w:rPr>
                <w:rFonts w:ascii="Arial" w:hAnsi="Arial" w:cs="Arial"/>
              </w:rPr>
              <w:t xml:space="preserve">  Usuário de drogas </w:t>
            </w:r>
            <w:r>
              <w:rPr>
                <w:rFonts w:ascii="Arial" w:hAnsi="Arial" w:cs="Arial"/>
              </w:rPr>
              <w:t>injetáveis</w:t>
            </w:r>
          </w:p>
        </w:tc>
      </w:tr>
      <w:tr w:rsidR="00307CAB" w14:paraId="46F4AAB6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283EA" w14:textId="77777777" w:rsidR="00307CAB" w:rsidRDefault="00555A61">
            <w:pPr>
              <w:pStyle w:val="TableContents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</w:t>
            </w:r>
            <w:r>
              <w:rPr>
                <w:rFonts w:ascii="Arial" w:hAnsi="Arial" w:cs="Arial"/>
              </w:rPr>
              <w:t xml:space="preserve"> Tempo prolongado de internação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B86F1" w14:textId="77777777" w:rsidR="00307CAB" w:rsidRDefault="00555A61">
            <w:pPr>
              <w:pStyle w:val="TableContents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Antecedentes mórbidos</w:t>
            </w:r>
          </w:p>
        </w:tc>
      </w:tr>
      <w:tr w:rsidR="00307CAB" w14:paraId="11B64C8A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5D5D2" w14:textId="77777777" w:rsidR="00307CAB" w:rsidRDefault="00555A61">
            <w:pPr>
              <w:pStyle w:val="TableContents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Outro (descreva):</w:t>
            </w:r>
          </w:p>
          <w:p w14:paraId="19289AA1" w14:textId="77777777" w:rsidR="00307CAB" w:rsidRDefault="00307CAB">
            <w:pPr>
              <w:pStyle w:val="TableContents"/>
              <w:rPr>
                <w:rFonts w:ascii="Arial" w:hAnsi="Arial" w:cs="Arial"/>
              </w:rPr>
            </w:pPr>
          </w:p>
          <w:p w14:paraId="45C0D4F3" w14:textId="77777777" w:rsidR="00307CAB" w:rsidRDefault="00307CAB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307CAB" w14:paraId="3264902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310F1" w14:textId="77777777" w:rsidR="00307CAB" w:rsidRDefault="00555A61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Condições do órgão</w:t>
            </w:r>
          </w:p>
          <w:p w14:paraId="1FCDB9FB" w14:textId="77777777" w:rsidR="00307CAB" w:rsidRDefault="00555A61">
            <w:pPr>
              <w:pStyle w:val="TableContents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(Marque com “x”)</w:t>
            </w:r>
          </w:p>
        </w:tc>
      </w:tr>
      <w:tr w:rsidR="00307CAB" w14:paraId="3E96BC4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AE3F6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 Alterações morfológicas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2C41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Contaminação do órgão</w:t>
            </w:r>
          </w:p>
        </w:tc>
      </w:tr>
      <w:tr w:rsidR="00307CAB" w14:paraId="30637B6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3455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 Lesão no órgão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E655D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Preservação </w:t>
            </w:r>
            <w:r>
              <w:rPr>
                <w:rFonts w:ascii="Arial" w:hAnsi="Arial" w:cs="Arial"/>
              </w:rPr>
              <w:t>inadequada</w:t>
            </w:r>
          </w:p>
        </w:tc>
      </w:tr>
      <w:tr w:rsidR="00307CAB" w14:paraId="32C6C2D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0DC80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 Tamanho ou peso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1768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Tempo de isquemia</w:t>
            </w:r>
          </w:p>
        </w:tc>
      </w:tr>
      <w:tr w:rsidR="00307CAB" w14:paraId="4067D39E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D14E3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 Má perfusão do órgão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0215" w14:textId="77777777" w:rsidR="00307CAB" w:rsidRDefault="00555A61">
            <w:pPr>
              <w:pStyle w:val="TableContents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Sem meio de preservação</w:t>
            </w:r>
          </w:p>
        </w:tc>
      </w:tr>
      <w:tr w:rsidR="00307CAB" w14:paraId="24E79D7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3521" w14:textId="77777777" w:rsidR="00307CAB" w:rsidRDefault="00555A61">
            <w:pPr>
              <w:pStyle w:val="TableContents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</w:t>
            </w:r>
            <w:r>
              <w:rPr>
                <w:rFonts w:ascii="Arial" w:hAnsi="Arial" w:cs="Arial"/>
              </w:rPr>
              <w:t>Outro (descreva):</w:t>
            </w:r>
          </w:p>
          <w:p w14:paraId="09B91FF0" w14:textId="77777777" w:rsidR="00307CAB" w:rsidRDefault="00307CAB">
            <w:pPr>
              <w:pStyle w:val="TableContents"/>
              <w:rPr>
                <w:rFonts w:ascii="Arial" w:hAnsi="Arial" w:cs="Arial"/>
              </w:rPr>
            </w:pPr>
          </w:p>
          <w:p w14:paraId="1E0AF1B6" w14:textId="77777777" w:rsidR="00307CAB" w:rsidRDefault="00307CAB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648FFF72" w14:textId="77777777" w:rsidR="00307CAB" w:rsidRDefault="00307CAB">
      <w:pPr>
        <w:pStyle w:val="Standard"/>
        <w:rPr>
          <w:rFonts w:ascii="Arial" w:hAnsi="Arial" w:cs="Arial"/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307CAB" w14:paraId="2D20F057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9AE0" w14:textId="77777777" w:rsidR="00307CAB" w:rsidRDefault="00555A61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>Relacionado ao receptor</w:t>
            </w:r>
          </w:p>
          <w:p w14:paraId="6D0D2A69" w14:textId="77777777" w:rsidR="00307CAB" w:rsidRDefault="00555A61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(Marque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 ”x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</w:tr>
      <w:tr w:rsidR="00307CAB" w14:paraId="11DB8BC0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FD44" w14:textId="77777777" w:rsidR="00307CAB" w:rsidRDefault="00555A61">
            <w:pPr>
              <w:pStyle w:val="NormalWeb"/>
              <w:spacing w:before="0" w:after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Receptor distante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F45E" w14:textId="77777777" w:rsidR="00307CAB" w:rsidRDefault="00555A61">
            <w:pPr>
              <w:pStyle w:val="NormalWeb"/>
              <w:spacing w:before="0" w:after="0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 xml:space="preserve">Receptor com exames </w:t>
            </w:r>
            <w:r>
              <w:rPr>
                <w:rFonts w:ascii="Arial" w:hAnsi="Arial" w:cs="Arial"/>
              </w:rPr>
              <w:t>incompletos</w:t>
            </w:r>
          </w:p>
        </w:tc>
      </w:tr>
      <w:tr w:rsidR="00307CAB" w14:paraId="25D1513D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F0CF" w14:textId="77777777" w:rsidR="00307CAB" w:rsidRDefault="00555A61">
            <w:pPr>
              <w:pStyle w:val="NormalWeb"/>
              <w:spacing w:before="0" w:after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Receptor não localizado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078B" w14:textId="77777777" w:rsidR="00307CAB" w:rsidRDefault="00555A61">
            <w:pPr>
              <w:pStyle w:val="NormalWeb"/>
              <w:spacing w:before="0" w:after="0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Receptor hipersensibilizado</w:t>
            </w:r>
          </w:p>
        </w:tc>
      </w:tr>
      <w:tr w:rsidR="00307CAB" w14:paraId="4A954EBE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60CF" w14:textId="77777777" w:rsidR="00307CAB" w:rsidRDefault="00555A61">
            <w:pPr>
              <w:pStyle w:val="NormalWeb"/>
              <w:spacing w:before="0" w:after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Sorologia positiva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C242" w14:textId="77777777" w:rsidR="00307CAB" w:rsidRDefault="00555A61">
            <w:pPr>
              <w:pStyle w:val="NormalWeb"/>
              <w:spacing w:before="0" w:after="0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 xml:space="preserve">Receptor com </w:t>
            </w:r>
            <w:proofErr w:type="spellStart"/>
            <w:r>
              <w:rPr>
                <w:rFonts w:ascii="Arial" w:hAnsi="Arial" w:cs="Arial"/>
              </w:rPr>
              <w:t>crossmatch</w:t>
            </w:r>
            <w:proofErr w:type="spellEnd"/>
            <w:r>
              <w:rPr>
                <w:rFonts w:ascii="Arial" w:hAnsi="Arial" w:cs="Arial"/>
              </w:rPr>
              <w:t xml:space="preserve"> positivo (+)</w:t>
            </w:r>
          </w:p>
        </w:tc>
      </w:tr>
      <w:tr w:rsidR="00307CAB" w14:paraId="1EA3F306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B706" w14:textId="77777777" w:rsidR="00307CAB" w:rsidRDefault="00555A61">
            <w:pPr>
              <w:pStyle w:val="NormalWeb"/>
              <w:spacing w:before="0" w:after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Receptor recusou o rim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3F84" w14:textId="77777777" w:rsidR="00307CAB" w:rsidRDefault="00555A61">
            <w:pPr>
              <w:pStyle w:val="NormalWeb"/>
              <w:spacing w:before="0" w:after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Outro (descreva):</w:t>
            </w:r>
          </w:p>
          <w:p w14:paraId="1D2D78BB" w14:textId="77777777" w:rsidR="00307CAB" w:rsidRDefault="00307CAB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</w:p>
          <w:p w14:paraId="747D663D" w14:textId="77777777" w:rsidR="00307CAB" w:rsidRDefault="00307CAB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</w:p>
          <w:p w14:paraId="09C816DE" w14:textId="77777777" w:rsidR="00307CAB" w:rsidRDefault="00307CAB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</w:p>
          <w:p w14:paraId="5C21FAEB" w14:textId="77777777" w:rsidR="00307CAB" w:rsidRDefault="00307CAB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</w:p>
        </w:tc>
      </w:tr>
      <w:tr w:rsidR="00307CAB" w14:paraId="7E4AF66F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E501" w14:textId="77777777" w:rsidR="00307CAB" w:rsidRDefault="00555A61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Relacionado a Equipe</w:t>
            </w:r>
          </w:p>
          <w:p w14:paraId="5A941733" w14:textId="77777777" w:rsidR="00307CAB" w:rsidRDefault="00555A61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(Marque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 ”x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</w:tr>
      <w:tr w:rsidR="00307CAB" w14:paraId="579E38DA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0AA5" w14:textId="77777777" w:rsidR="00307CAB" w:rsidRDefault="00555A61">
            <w:pPr>
              <w:pStyle w:val="NormalWeb"/>
              <w:spacing w:before="0" w:after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Equipe indisponível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1B67" w14:textId="77777777" w:rsidR="00307CAB" w:rsidRDefault="00555A61">
            <w:pPr>
              <w:pStyle w:val="NormalWeb"/>
              <w:spacing w:before="0" w:after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Equipe e/ou estabelecimento com credenciamento vencido</w:t>
            </w:r>
          </w:p>
        </w:tc>
      </w:tr>
      <w:tr w:rsidR="00307CAB" w14:paraId="12075E5F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D564" w14:textId="77777777" w:rsidR="00307CAB" w:rsidRDefault="00555A61">
            <w:pPr>
              <w:pStyle w:val="NormalWeb"/>
              <w:spacing w:before="0" w:after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Equipe não respondeu em 1 hora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4123" w14:textId="77777777" w:rsidR="00307CAB" w:rsidRDefault="00555A61">
            <w:pPr>
              <w:pStyle w:val="NormalWeb"/>
              <w:spacing w:before="0" w:after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 </w:t>
            </w:r>
            <w:r>
              <w:rPr>
                <w:rFonts w:ascii="Arial" w:hAnsi="Arial" w:cs="Arial"/>
              </w:rPr>
              <w:t>Outro (descreva):</w:t>
            </w:r>
          </w:p>
          <w:p w14:paraId="40498D18" w14:textId="77777777" w:rsidR="00307CAB" w:rsidRDefault="00307CAB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</w:p>
          <w:p w14:paraId="60B6A018" w14:textId="77777777" w:rsidR="00307CAB" w:rsidRDefault="00307CAB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</w:p>
          <w:p w14:paraId="59289268" w14:textId="77777777" w:rsidR="00307CAB" w:rsidRDefault="00307CAB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</w:p>
          <w:p w14:paraId="048589E2" w14:textId="77777777" w:rsidR="00307CAB" w:rsidRDefault="00307CAB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</w:p>
        </w:tc>
      </w:tr>
    </w:tbl>
    <w:p w14:paraId="3FBC2FFD" w14:textId="77777777" w:rsidR="00307CAB" w:rsidRDefault="00307CAB">
      <w:pPr>
        <w:pStyle w:val="Textbody"/>
        <w:ind w:left="770" w:hanging="770"/>
        <w:jc w:val="both"/>
        <w:rPr>
          <w:rFonts w:ascii="Arial" w:hAnsi="Arial" w:cs="Arial"/>
          <w:b/>
          <w:bCs/>
        </w:rPr>
      </w:pPr>
    </w:p>
    <w:p w14:paraId="3189CFB5" w14:textId="77777777" w:rsidR="00307CAB" w:rsidRDefault="00555A61">
      <w:pPr>
        <w:pStyle w:val="Textbody"/>
        <w:ind w:left="770" w:hanging="770"/>
        <w:jc w:val="both"/>
      </w:pPr>
      <w:r>
        <w:rPr>
          <w:rFonts w:ascii="Arial" w:hAnsi="Arial" w:cs="Arial"/>
          <w:b/>
          <w:bCs/>
        </w:rPr>
        <w:t>OUTRAS INFORMAÇÕES:</w:t>
      </w:r>
    </w:p>
    <w:p w14:paraId="0EF22195" w14:textId="77777777" w:rsidR="00307CAB" w:rsidRDefault="00555A61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manutenção e atualização das informações sobre os potenciais receptores </w:t>
      </w:r>
      <w:r>
        <w:rPr>
          <w:rFonts w:ascii="Arial" w:hAnsi="Arial" w:cs="Arial"/>
        </w:rPr>
        <w:t>inscritos para a realização de transplantes é de responsabilidade da equipe especializada a qual o inscreveu (Portaria 2600/2009, Art. 29, § 1º).</w:t>
      </w:r>
    </w:p>
    <w:p w14:paraId="79FF07E6" w14:textId="77777777" w:rsidR="00307CAB" w:rsidRDefault="00555A61">
      <w:pPr>
        <w:pStyle w:val="Textbody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Potenciais receptores inscritos para transplante de órgãos, que acumularem 365 dias no </w:t>
      </w:r>
      <w:r>
        <w:rPr>
          <w:rFonts w:ascii="Arial" w:hAnsi="Arial" w:cs="Arial"/>
          <w:i/>
        </w:rPr>
        <w:t>status</w:t>
      </w:r>
      <w:r>
        <w:rPr>
          <w:rFonts w:ascii="Arial" w:hAnsi="Arial" w:cs="Arial"/>
        </w:rPr>
        <w:t xml:space="preserve"> semiativo serão </w:t>
      </w:r>
      <w:r>
        <w:rPr>
          <w:rFonts w:ascii="Arial" w:hAnsi="Arial" w:cs="Arial"/>
        </w:rPr>
        <w:t>removidos automaticamente pelo sistema, podendo ocorrer remoção em menor/maior tempo, de acordo com particularidades de cada órgão.</w:t>
      </w:r>
    </w:p>
    <w:p w14:paraId="47DEFA4A" w14:textId="77777777" w:rsidR="00307CAB" w:rsidRDefault="00555A61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Este Termo de Recusa de Rim deverá ser preenchido para cada potencial receptor contemplado no ranking da oferta e deverá ser</w:t>
      </w:r>
      <w:r>
        <w:rPr>
          <w:rFonts w:ascii="Arial" w:hAnsi="Arial" w:cs="Arial"/>
        </w:rPr>
        <w:t xml:space="preserve"> fidedigno nas informações, conforme cada individualidade.</w:t>
      </w:r>
    </w:p>
    <w:p w14:paraId="5034CCE9" w14:textId="77777777" w:rsidR="00307CAB" w:rsidRDefault="00555A61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Este Termo de Recusa deverá ser preenchido, assinado e carimbado e enviado para Central Estadual de Transplantes no prazo máximo de 48 horas, seguindo o fluxo estabelecido.</w:t>
      </w:r>
    </w:p>
    <w:p w14:paraId="14A5F34B" w14:textId="77777777" w:rsidR="00307CAB" w:rsidRDefault="00555A61">
      <w:pPr>
        <w:pStyle w:val="Textbody"/>
        <w:ind w:left="77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Hospital__________</w:t>
      </w:r>
      <w:r>
        <w:rPr>
          <w:rFonts w:ascii="Arial" w:hAnsi="Arial" w:cs="Arial"/>
          <w:b/>
          <w:bCs/>
        </w:rPr>
        <w:t>_________________________________________________</w:t>
      </w:r>
    </w:p>
    <w:p w14:paraId="3D734642" w14:textId="77777777" w:rsidR="00307CAB" w:rsidRDefault="00307CAB">
      <w:pPr>
        <w:pStyle w:val="Textbody"/>
        <w:ind w:left="770" w:hanging="360"/>
        <w:rPr>
          <w:rFonts w:ascii="Arial" w:hAnsi="Arial" w:cs="Arial"/>
          <w:b/>
          <w:bCs/>
        </w:rPr>
      </w:pPr>
    </w:p>
    <w:p w14:paraId="0A5B2CCB" w14:textId="77777777" w:rsidR="00307CAB" w:rsidRDefault="00555A61">
      <w:pPr>
        <w:pStyle w:val="Textbody"/>
        <w:spacing w:after="0"/>
        <w:ind w:left="770" w:hanging="360"/>
        <w:jc w:val="right"/>
      </w:pPr>
      <w:r>
        <w:rPr>
          <w:rFonts w:ascii="Arial" w:hAnsi="Arial" w:cs="Arial"/>
          <w:b/>
          <w:bCs/>
        </w:rPr>
        <w:t xml:space="preserve">   _____________________________</w:t>
      </w:r>
    </w:p>
    <w:p w14:paraId="66D220EA" w14:textId="77777777" w:rsidR="00307CAB" w:rsidRDefault="00555A61">
      <w:pPr>
        <w:pStyle w:val="Standard"/>
        <w:jc w:val="right"/>
      </w:pPr>
      <w:r>
        <w:rPr>
          <w:rFonts w:ascii="Arial" w:hAnsi="Arial" w:cs="Arial"/>
          <w:b/>
          <w:bCs/>
        </w:rPr>
        <w:t xml:space="preserve">          Assinatura e carimbo do médico</w:t>
      </w:r>
    </w:p>
    <w:p w14:paraId="2645A18D" w14:textId="77777777" w:rsidR="00307CAB" w:rsidRDefault="00307CAB">
      <w:pPr>
        <w:pStyle w:val="NormalWeb"/>
        <w:spacing w:before="0" w:after="0"/>
        <w:jc w:val="right"/>
        <w:rPr>
          <w:rFonts w:ascii="Arial" w:hAnsi="Arial" w:cs="Arial"/>
        </w:rPr>
      </w:pPr>
    </w:p>
    <w:sectPr w:rsidR="00307CA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E2E7" w14:textId="77777777" w:rsidR="00555A61" w:rsidRDefault="00555A61">
      <w:r>
        <w:separator/>
      </w:r>
    </w:p>
  </w:endnote>
  <w:endnote w:type="continuationSeparator" w:id="0">
    <w:p w14:paraId="13E0D06F" w14:textId="77777777" w:rsidR="00555A61" w:rsidRDefault="0055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BEA9" w14:textId="77777777" w:rsidR="000D6AF8" w:rsidRDefault="00555A61">
    <w:pPr>
      <w:pStyle w:val="Rodap"/>
      <w:jc w:val="center"/>
      <w:rPr>
        <w:rFonts w:ascii="Arial" w:hAnsi="Arial" w:cs="Arial"/>
        <w:bCs/>
        <w:iCs/>
        <w:color w:val="000000"/>
        <w:sz w:val="18"/>
        <w:szCs w:val="18"/>
      </w:rPr>
    </w:pPr>
    <w:r>
      <w:rPr>
        <w:rFonts w:ascii="Arial" w:hAnsi="Arial" w:cs="Arial"/>
        <w:bCs/>
        <w:iCs/>
        <w:color w:val="000000"/>
        <w:sz w:val="18"/>
        <w:szCs w:val="18"/>
      </w:rPr>
      <w:t xml:space="preserve">Central Estadual de Transplantes de </w:t>
    </w:r>
    <w:proofErr w:type="gramStart"/>
    <w:r>
      <w:rPr>
        <w:rFonts w:ascii="Arial" w:hAnsi="Arial" w:cs="Arial"/>
        <w:bCs/>
        <w:iCs/>
        <w:color w:val="000000"/>
        <w:sz w:val="18"/>
        <w:szCs w:val="18"/>
      </w:rPr>
      <w:t>Goiás  (</w:t>
    </w:r>
    <w:proofErr w:type="gramEnd"/>
    <w:r>
      <w:rPr>
        <w:rFonts w:ascii="Arial" w:hAnsi="Arial" w:cs="Arial"/>
        <w:bCs/>
        <w:iCs/>
        <w:color w:val="000000"/>
        <w:sz w:val="18"/>
        <w:szCs w:val="18"/>
      </w:rPr>
      <w:t>CET-GO)</w:t>
    </w:r>
  </w:p>
  <w:p w14:paraId="1B714047" w14:textId="77777777" w:rsidR="000D6AF8" w:rsidRDefault="00555A61">
    <w:pPr>
      <w:pStyle w:val="Rodap"/>
      <w:jc w:val="center"/>
    </w:pPr>
    <w:r>
      <w:rPr>
        <w:rFonts w:ascii="Arial" w:hAnsi="Arial" w:cs="Arial"/>
        <w:bCs/>
        <w:iCs/>
        <w:color w:val="000000"/>
        <w:sz w:val="18"/>
        <w:szCs w:val="18"/>
      </w:rPr>
      <w:t xml:space="preserve">Rua 94 nº 188 – Setor Sul. Goiânia-GO. </w:t>
    </w:r>
    <w:r>
      <w:rPr>
        <w:rFonts w:ascii="Arial" w:hAnsi="Arial" w:cs="Arial"/>
        <w:bCs/>
        <w:iCs/>
        <w:color w:val="202124"/>
        <w:sz w:val="18"/>
        <w:szCs w:val="18"/>
        <w:shd w:val="clear" w:color="auto" w:fill="FFFFFF"/>
      </w:rPr>
      <w:t>74083-105</w:t>
    </w:r>
  </w:p>
  <w:p w14:paraId="62BB96F8" w14:textId="77777777" w:rsidR="000D6AF8" w:rsidRDefault="00555A61">
    <w:pPr>
      <w:pStyle w:val="Rodap"/>
      <w:jc w:val="center"/>
      <w:rPr>
        <w:rFonts w:ascii="Arial" w:hAnsi="Arial" w:cs="Arial"/>
        <w:bCs/>
        <w:iCs/>
        <w:color w:val="000000"/>
        <w:sz w:val="18"/>
        <w:szCs w:val="18"/>
      </w:rPr>
    </w:pPr>
    <w:r>
      <w:rPr>
        <w:rFonts w:ascii="Arial" w:hAnsi="Arial" w:cs="Arial"/>
        <w:bCs/>
        <w:iCs/>
        <w:color w:val="000000"/>
        <w:sz w:val="18"/>
        <w:szCs w:val="18"/>
      </w:rPr>
      <w:t xml:space="preserve">Telefone para contato: (62)3201-6025 / (62)32012200 </w:t>
    </w:r>
    <w:proofErr w:type="gramStart"/>
    <w:r>
      <w:rPr>
        <w:rFonts w:ascii="Arial" w:hAnsi="Arial" w:cs="Arial"/>
        <w:bCs/>
        <w:iCs/>
        <w:color w:val="000000"/>
        <w:sz w:val="18"/>
        <w:szCs w:val="18"/>
      </w:rPr>
      <w:t>/(</w:t>
    </w:r>
    <w:proofErr w:type="gramEnd"/>
    <w:r>
      <w:rPr>
        <w:rFonts w:ascii="Arial" w:hAnsi="Arial" w:cs="Arial"/>
        <w:bCs/>
        <w:iCs/>
        <w:color w:val="000000"/>
        <w:sz w:val="18"/>
        <w:szCs w:val="18"/>
      </w:rPr>
      <w:t>62)32013961</w:t>
    </w:r>
  </w:p>
  <w:p w14:paraId="519B8441" w14:textId="77777777" w:rsidR="000D6AF8" w:rsidRDefault="00555A61">
    <w:pPr>
      <w:pStyle w:val="Rodap"/>
      <w:jc w:val="center"/>
    </w:pPr>
    <w:r>
      <w:rPr>
        <w:rFonts w:ascii="Arial" w:hAnsi="Arial" w:cs="Arial"/>
        <w:bCs/>
        <w:iCs/>
        <w:sz w:val="18"/>
        <w:szCs w:val="18"/>
      </w:rPr>
      <w:t xml:space="preserve">e-mail: </w:t>
    </w:r>
    <w:hyperlink r:id="rId1" w:history="1">
      <w:r>
        <w:rPr>
          <w:rFonts w:ascii="Arial" w:hAnsi="Arial" w:cs="Arial"/>
          <w:bCs/>
          <w:iCs/>
          <w:sz w:val="18"/>
          <w:szCs w:val="18"/>
        </w:rPr>
        <w:t>transplantes.saude@goias.gov.br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A86A" w14:textId="77777777" w:rsidR="00555A61" w:rsidRDefault="00555A61">
      <w:r>
        <w:rPr>
          <w:color w:val="000000"/>
        </w:rPr>
        <w:separator/>
      </w:r>
    </w:p>
  </w:footnote>
  <w:footnote w:type="continuationSeparator" w:id="0">
    <w:p w14:paraId="1F4E91C0" w14:textId="77777777" w:rsidR="00555A61" w:rsidRDefault="0055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EF28" w14:textId="77777777" w:rsidR="000D6AF8" w:rsidRDefault="00555A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F4338E" wp14:editId="3C6AA042">
          <wp:simplePos x="0" y="0"/>
          <wp:positionH relativeFrom="margin">
            <wp:align>center</wp:align>
          </wp:positionH>
          <wp:positionV relativeFrom="paragraph">
            <wp:posOffset>-352428</wp:posOffset>
          </wp:positionV>
          <wp:extent cx="2200274" cy="704846"/>
          <wp:effectExtent l="0" t="0" r="0" b="0"/>
          <wp:wrapTight wrapText="bothSides">
            <wp:wrapPolygon edited="0">
              <wp:start x="14961" y="584"/>
              <wp:lineTo x="6919" y="4670"/>
              <wp:lineTo x="1870" y="8173"/>
              <wp:lineTo x="2057" y="14011"/>
              <wp:lineTo x="10660" y="19265"/>
              <wp:lineTo x="14961" y="20433"/>
              <wp:lineTo x="19636" y="20433"/>
              <wp:lineTo x="21319" y="9341"/>
              <wp:lineTo x="19262" y="584"/>
              <wp:lineTo x="14961" y="584"/>
            </wp:wrapPolygon>
          </wp:wrapTight>
          <wp:docPr id="1" name="Figur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4" cy="704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94DA0F5" w14:textId="77777777" w:rsidR="000D6AF8" w:rsidRDefault="00555A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574"/>
    <w:multiLevelType w:val="multilevel"/>
    <w:tmpl w:val="1ACA200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7D602829"/>
    <w:multiLevelType w:val="multilevel"/>
    <w:tmpl w:val="F238D368"/>
    <w:lvl w:ilvl="0">
      <w:start w:val="1"/>
      <w:numFmt w:val="decimal"/>
      <w:lvlText w:val="%1)"/>
      <w:lvlJc w:val="left"/>
      <w:pPr>
        <w:ind w:left="77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7CAB"/>
    <w:rsid w:val="00307CAB"/>
    <w:rsid w:val="00555A61"/>
    <w:rsid w:val="00C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0BA"/>
  <w15:docId w15:val="{3D64B5EC-1C2D-4DCF-943E-5A70C8B6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spacing w:line="360" w:lineRule="auto"/>
      <w:ind w:left="284"/>
      <w:jc w:val="both"/>
      <w:outlineLvl w:val="0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Standard"/>
    <w:pPr>
      <w:spacing w:before="100" w:after="119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basedOn w:val="Fontepargpadro"/>
    <w:rPr>
      <w:color w:val="800080"/>
      <w:u w:val="single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CabealhoChar">
    <w:name w:val="Cabeçalho Char"/>
    <w:basedOn w:val="Fontepargpadro"/>
  </w:style>
  <w:style w:type="numbering" w:customStyle="1" w:styleId="WW8Num2">
    <w:name w:val="WW8Num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lantes.saude@goia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Lourdes Rosa dos Passos</dc:creator>
  <cp:lastModifiedBy>Lívia Oliveira Soares</cp:lastModifiedBy>
  <cp:revision>2</cp:revision>
  <cp:lastPrinted>2023-03-09T21:24:00Z</cp:lastPrinted>
  <dcterms:created xsi:type="dcterms:W3CDTF">2023-03-13T12:30:00Z</dcterms:created>
  <dcterms:modified xsi:type="dcterms:W3CDTF">2023-03-13T12:30:00Z</dcterms:modified>
</cp:coreProperties>
</file>