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97" w:rsidRDefault="00245997">
      <w:pPr>
        <w:pStyle w:val="Corpodetexto"/>
        <w:jc w:val="center"/>
        <w:rPr>
          <w:rFonts w:hint="eastAsia"/>
        </w:rPr>
      </w:pPr>
    </w:p>
    <w:p w:rsidR="00245997" w:rsidRDefault="00A7328C">
      <w:pPr>
        <w:pStyle w:val="Corpodetexto"/>
        <w:jc w:val="center"/>
        <w:rPr>
          <w:rFonts w:hint="eastAsia"/>
        </w:rPr>
      </w:pPr>
      <w:r>
        <w:rPr>
          <w:rFonts w:cs="Times New Roman"/>
          <w:b/>
          <w:bCs/>
          <w:sz w:val="26"/>
          <w:szCs w:val="26"/>
          <w:u w:val="single"/>
        </w:rPr>
        <w:t>TERMO DE</w:t>
      </w:r>
      <w:r>
        <w:rPr>
          <w:rFonts w:cs="Times New Roman"/>
          <w:b/>
          <w:bCs/>
          <w:u w:val="single"/>
        </w:rPr>
        <w:t>URGÊNCIA DE CÓRNEA</w:t>
      </w:r>
    </w:p>
    <w:p w:rsidR="00245997" w:rsidRDefault="00245997">
      <w:pPr>
        <w:pStyle w:val="Corpodetexto"/>
        <w:jc w:val="center"/>
        <w:rPr>
          <w:rFonts w:cs="Times New Roman" w:hint="eastAsia"/>
          <w:b/>
          <w:bCs/>
          <w:u w:val="single"/>
        </w:rPr>
      </w:pPr>
    </w:p>
    <w:tbl>
      <w:tblPr>
        <w:tblW w:w="969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94"/>
      </w:tblGrid>
      <w:tr w:rsidR="00245997"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997" w:rsidRDefault="00A7328C">
            <w:pPr>
              <w:pStyle w:val="Contedodetabela"/>
              <w:spacing w:line="360" w:lineRule="auto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RGCT: ________________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Nome: ________________________________________________________ </w:t>
            </w:r>
          </w:p>
          <w:p w:rsidR="00245997" w:rsidRDefault="00A7328C">
            <w:pPr>
              <w:pStyle w:val="Contedodetabela"/>
              <w:spacing w:line="360" w:lineRule="auto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Serviço/Hospital:</w:t>
            </w:r>
            <w:r>
              <w:rPr>
                <w:b/>
                <w:bCs/>
                <w:sz w:val="22"/>
                <w:szCs w:val="22"/>
              </w:rPr>
              <w:t xml:space="preserve"> _______________________________________________________________________ </w:t>
            </w:r>
          </w:p>
          <w:p w:rsidR="00245997" w:rsidRDefault="00A7328C">
            <w:pPr>
              <w:pStyle w:val="Contedodetabela"/>
              <w:spacing w:line="360" w:lineRule="auto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Equipe: </w:t>
            </w:r>
            <w:r>
              <w:rPr>
                <w:b/>
                <w:bCs/>
                <w:sz w:val="22"/>
                <w:szCs w:val="22"/>
              </w:rPr>
              <w:t>_______________________________________________________________________________</w:t>
            </w:r>
          </w:p>
        </w:tc>
      </w:tr>
    </w:tbl>
    <w:p w:rsidR="00245997" w:rsidRDefault="00245997">
      <w:pPr>
        <w:pStyle w:val="Footer"/>
        <w:tabs>
          <w:tab w:val="clear" w:pos="4819"/>
          <w:tab w:val="clear" w:pos="9638"/>
          <w:tab w:val="left" w:pos="21572"/>
        </w:tabs>
        <w:autoSpaceDE w:val="0"/>
        <w:spacing w:before="57" w:line="200" w:lineRule="atLeast"/>
        <w:jc w:val="center"/>
        <w:rPr>
          <w:rFonts w:hint="eastAsia"/>
        </w:rPr>
      </w:pPr>
    </w:p>
    <w:p w:rsidR="00245997" w:rsidRDefault="00A7328C">
      <w:pPr>
        <w:pStyle w:val="Header"/>
        <w:tabs>
          <w:tab w:val="clear" w:pos="4819"/>
          <w:tab w:val="clear" w:pos="9638"/>
        </w:tabs>
        <w:autoSpaceDE w:val="0"/>
        <w:spacing w:before="57"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CRITÉRIOS URGÊNCIA CONFORME A PORTARIA Nº 2.600 DE 21 DE OUTUBRO 2009</w:t>
      </w:r>
    </w:p>
    <w:tbl>
      <w:tblPr>
        <w:tblW w:w="975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50"/>
      </w:tblGrid>
      <w:tr w:rsidR="00245997"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997" w:rsidRDefault="00A7328C">
            <w:pPr>
              <w:pStyle w:val="Contedodetabela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) Perfuração do Globo Ocular</w:t>
            </w:r>
          </w:p>
          <w:p w:rsidR="00245997" w:rsidRDefault="00A7328C">
            <w:pPr>
              <w:pStyle w:val="Contedodetabela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) 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minência de perfuração de córnea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Descemetocele</w:t>
            </w:r>
            <w:proofErr w:type="spellEnd"/>
          </w:p>
          <w:p w:rsidR="00245997" w:rsidRDefault="00A7328C">
            <w:pPr>
              <w:pStyle w:val="Contedodetabela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t>Recept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com idade inferior a sete anos que apresenta opacidade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corneana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bilateral;</w:t>
            </w:r>
          </w:p>
          <w:p w:rsidR="00245997" w:rsidRDefault="00A7328C">
            <w:pPr>
              <w:pStyle w:val="Contedodetabela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t>Úlcera de córnea sem resposta a tratamento clínico;</w:t>
            </w:r>
          </w:p>
          <w:p w:rsidR="00245997" w:rsidRDefault="00A7328C">
            <w:pPr>
              <w:pStyle w:val="Contedodetabela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) Falência primária, até o nonagésimo (90º) dia consecutivo à realização do transplante, da realização do transpla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nte com córnea viável para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transplante óptico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:rsidR="00245997" w:rsidRDefault="00245997">
      <w:pPr>
        <w:tabs>
          <w:tab w:val="left" w:pos="21572"/>
        </w:tabs>
        <w:autoSpaceDE w:val="0"/>
        <w:spacing w:before="57" w:line="200" w:lineRule="atLeast"/>
        <w:rPr>
          <w:rFonts w:ascii="Calibri" w:hAnsi="Calibri" w:cs="Calibri"/>
          <w:b/>
        </w:rPr>
      </w:pPr>
    </w:p>
    <w:p w:rsidR="00245997" w:rsidRDefault="00A7328C">
      <w:pPr>
        <w:tabs>
          <w:tab w:val="left" w:pos="21572"/>
        </w:tabs>
        <w:autoSpaceDE w:val="0"/>
        <w:spacing w:before="57" w:line="200" w:lineRule="atLeast"/>
        <w:rPr>
          <w:rFonts w:hint="eastAsia"/>
          <w:b/>
        </w:rPr>
      </w:pPr>
      <w:r>
        <w:rPr>
          <w:rFonts w:ascii="Calibri" w:hAnsi="Calibri" w:cs="Calibri"/>
          <w:b/>
        </w:rPr>
        <w:t>OUTRAS INFORMAÇÕES:</w:t>
      </w:r>
      <w:r>
        <w:rPr>
          <w:rFonts w:ascii="Calibri" w:hAnsi="Calibri" w:cs="Calibri"/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45997" w:rsidRDefault="00245997">
      <w:pPr>
        <w:pStyle w:val="Footer"/>
        <w:tabs>
          <w:tab w:val="clear" w:pos="4819"/>
          <w:tab w:val="clear" w:pos="9638"/>
          <w:tab w:val="left" w:pos="21572"/>
        </w:tabs>
        <w:autoSpaceDE w:val="0"/>
        <w:spacing w:before="57" w:line="200" w:lineRule="atLeast"/>
        <w:rPr>
          <w:rFonts w:hint="eastAsia"/>
          <w:b/>
        </w:rPr>
      </w:pPr>
    </w:p>
    <w:p w:rsidR="00245997" w:rsidRDefault="00A7328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OBS: Conforme a portaria nº 2600, de 21 de </w:t>
      </w:r>
      <w:r>
        <w:rPr>
          <w:rFonts w:ascii="Calibri" w:hAnsi="Calibri" w:cs="Calibri"/>
          <w:b/>
          <w:sz w:val="22"/>
          <w:szCs w:val="22"/>
        </w:rPr>
        <w:t>outubro de 2009</w:t>
      </w:r>
    </w:p>
    <w:p w:rsidR="00245997" w:rsidRDefault="00245997">
      <w:pPr>
        <w:jc w:val="both"/>
        <w:rPr>
          <w:rFonts w:ascii="Calibri" w:hAnsi="Calibri" w:cs="Calibri"/>
          <w:b/>
          <w:sz w:val="22"/>
          <w:szCs w:val="22"/>
        </w:rPr>
      </w:pPr>
    </w:p>
    <w:p w:rsidR="00245997" w:rsidRDefault="00A7328C">
      <w:pPr>
        <w:tabs>
          <w:tab w:val="left" w:pos="21572"/>
        </w:tabs>
        <w:autoSpaceDE w:val="0"/>
        <w:spacing w:before="57" w:line="200" w:lineRule="atLeast"/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Anexo VII -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O prazo máximo para envio do botão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corneano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do receptor ao Banco de Tecidos Oculares é de 48 (quarenta e oito) horas após a realização do transplante. O não-encaminhamento do botão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corneano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do receptor priorizado no prazo estab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elecido poderá acarretar ao profissional transplantador, o cancelamento da autorização para a realização de transplante de córnea, emitida pelo Ministério da Saúde. O resultado do exame anatomopatológico do botão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corneano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, nesse caso, deve ser encaminhado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pelo banco à respectiva CET-GO.</w:t>
      </w:r>
    </w:p>
    <w:p w:rsidR="00245997" w:rsidRDefault="00245997">
      <w:pPr>
        <w:pStyle w:val="LO-Normal"/>
        <w:spacing w:before="100"/>
        <w:jc w:val="both"/>
        <w:rPr>
          <w:b/>
          <w:bCs/>
        </w:rPr>
      </w:pPr>
    </w:p>
    <w:p w:rsidR="00245997" w:rsidRDefault="00245997">
      <w:pPr>
        <w:pStyle w:val="LO-Normal"/>
        <w:spacing w:before="100"/>
        <w:jc w:val="both"/>
        <w:rPr>
          <w:b/>
          <w:bCs/>
        </w:rPr>
      </w:pPr>
    </w:p>
    <w:p w:rsidR="00245997" w:rsidRDefault="00A7328C">
      <w:pPr>
        <w:pStyle w:val="NormalWeb"/>
        <w:tabs>
          <w:tab w:val="left" w:pos="21572"/>
        </w:tabs>
        <w:autoSpaceDE w:val="0"/>
        <w:spacing w:after="0" w:line="200" w:lineRule="atLeast"/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_______________________, _____/_____/_______ (______:______)</w:t>
      </w:r>
    </w:p>
    <w:p w:rsidR="00245997" w:rsidRDefault="00245997">
      <w:pPr>
        <w:pStyle w:val="NormalWeb"/>
        <w:tabs>
          <w:tab w:val="left" w:pos="21572"/>
        </w:tabs>
        <w:autoSpaceDE w:val="0"/>
        <w:spacing w:after="0" w:line="200" w:lineRule="atLeast"/>
        <w:jc w:val="center"/>
        <w:rPr>
          <w:rFonts w:hint="eastAsia"/>
          <w:b/>
          <w:bCs/>
          <w:color w:val="000000"/>
        </w:rPr>
      </w:pPr>
    </w:p>
    <w:p w:rsidR="00245997" w:rsidRDefault="00245997">
      <w:pPr>
        <w:pStyle w:val="NormalWeb"/>
        <w:tabs>
          <w:tab w:val="left" w:pos="21572"/>
        </w:tabs>
        <w:autoSpaceDE w:val="0"/>
        <w:spacing w:after="0" w:line="200" w:lineRule="atLeast"/>
        <w:jc w:val="center"/>
        <w:rPr>
          <w:rFonts w:hint="eastAsia"/>
          <w:b/>
          <w:bCs/>
          <w:color w:val="000000"/>
        </w:rPr>
      </w:pPr>
    </w:p>
    <w:p w:rsidR="00245997" w:rsidRDefault="00A7328C">
      <w:pPr>
        <w:pStyle w:val="NormalWeb"/>
        <w:tabs>
          <w:tab w:val="left" w:pos="21572"/>
        </w:tabs>
        <w:autoSpaceDE w:val="0"/>
        <w:spacing w:after="0" w:line="200" w:lineRule="atLeast"/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___________________________________________</w:t>
      </w:r>
    </w:p>
    <w:p w:rsidR="00245997" w:rsidRDefault="00A7328C">
      <w:pPr>
        <w:pStyle w:val="NormalWeb"/>
        <w:tabs>
          <w:tab w:val="left" w:pos="21572"/>
        </w:tabs>
        <w:autoSpaceDE w:val="0"/>
        <w:spacing w:after="0" w:line="200" w:lineRule="atLeast"/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Assinatura do médico e Carimbo</w:t>
      </w:r>
    </w:p>
    <w:p w:rsidR="00245997" w:rsidRDefault="00245997">
      <w:pPr>
        <w:pStyle w:val="Corpodetexto"/>
        <w:jc w:val="center"/>
        <w:rPr>
          <w:rFonts w:cs="Times New Roman" w:hint="eastAsia"/>
          <w:b/>
          <w:bCs/>
          <w:sz w:val="20"/>
          <w:szCs w:val="20"/>
        </w:rPr>
      </w:pPr>
    </w:p>
    <w:sectPr w:rsidR="00245997" w:rsidSect="00245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3" w:right="1134" w:bottom="2155" w:left="1134" w:header="1134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997" w:rsidRDefault="00245997" w:rsidP="00245997">
      <w:r>
        <w:separator/>
      </w:r>
    </w:p>
  </w:endnote>
  <w:endnote w:type="continuationSeparator" w:id="1">
    <w:p w:rsidR="00245997" w:rsidRDefault="00245997" w:rsidP="00245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8C" w:rsidRDefault="00A7328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97" w:rsidRDefault="00A7328C">
    <w:pPr>
      <w:pStyle w:val="Footer"/>
      <w:pBdr>
        <w:top w:val="single" w:sz="4" w:space="0" w:color="000000"/>
      </w:pBdr>
      <w:jc w:val="center"/>
      <w:rPr>
        <w:rFonts w:hint="eastAsia"/>
        <w:b/>
        <w:i/>
        <w:color w:val="000000"/>
        <w:sz w:val="18"/>
      </w:rPr>
    </w:pPr>
    <w:r>
      <w:rPr>
        <w:b/>
        <w:i/>
        <w:color w:val="000000"/>
        <w:sz w:val="18"/>
      </w:rPr>
      <w:t>Central Estadual de Transplantes de</w:t>
    </w:r>
    <w:proofErr w:type="gramStart"/>
    <w:r>
      <w:rPr>
        <w:b/>
        <w:i/>
        <w:color w:val="000000"/>
        <w:sz w:val="18"/>
      </w:rPr>
      <w:t xml:space="preserve">  </w:t>
    </w:r>
    <w:proofErr w:type="gramEnd"/>
    <w:r>
      <w:rPr>
        <w:b/>
        <w:i/>
        <w:color w:val="000000"/>
        <w:sz w:val="18"/>
      </w:rPr>
      <w:t xml:space="preserve">Goiás     </w:t>
    </w:r>
  </w:p>
  <w:p w:rsidR="00245997" w:rsidRDefault="00A7328C">
    <w:pPr>
      <w:pStyle w:val="Footer"/>
      <w:pBdr>
        <w:top w:val="single" w:sz="4" w:space="0" w:color="000000"/>
      </w:pBdr>
      <w:jc w:val="center"/>
      <w:rPr>
        <w:rFonts w:hint="eastAsia"/>
        <w:b/>
        <w:i/>
        <w:color w:val="000000"/>
        <w:sz w:val="18"/>
      </w:rPr>
    </w:pPr>
    <w:r>
      <w:rPr>
        <w:b/>
        <w:i/>
        <w:color w:val="000000"/>
        <w:sz w:val="18"/>
      </w:rPr>
      <w:t xml:space="preserve">Rua 94, </w:t>
    </w:r>
    <w:proofErr w:type="spellStart"/>
    <w:r>
      <w:rPr>
        <w:b/>
        <w:i/>
        <w:color w:val="000000"/>
        <w:sz w:val="18"/>
      </w:rPr>
      <w:t>Qd</w:t>
    </w:r>
    <w:proofErr w:type="spellEnd"/>
    <w:r>
      <w:rPr>
        <w:b/>
        <w:i/>
        <w:color w:val="000000"/>
        <w:sz w:val="18"/>
      </w:rPr>
      <w:t xml:space="preserve"> F-13, </w:t>
    </w:r>
    <w:proofErr w:type="spellStart"/>
    <w:r>
      <w:rPr>
        <w:b/>
        <w:i/>
        <w:color w:val="000000"/>
        <w:sz w:val="18"/>
      </w:rPr>
      <w:t>Lt</w:t>
    </w:r>
    <w:proofErr w:type="spellEnd"/>
    <w:r>
      <w:rPr>
        <w:b/>
        <w:i/>
        <w:color w:val="000000"/>
        <w:sz w:val="18"/>
      </w:rPr>
      <w:t xml:space="preserve">. 24 – </w:t>
    </w:r>
    <w:proofErr w:type="spellStart"/>
    <w:r>
      <w:rPr>
        <w:b/>
        <w:i/>
        <w:color w:val="000000"/>
        <w:sz w:val="18"/>
      </w:rPr>
      <w:t>St</w:t>
    </w:r>
    <w:proofErr w:type="spellEnd"/>
    <w:r>
      <w:rPr>
        <w:b/>
        <w:i/>
        <w:color w:val="000000"/>
        <w:sz w:val="18"/>
      </w:rPr>
      <w:t xml:space="preserve">. Sul, Goiânia – </w:t>
    </w:r>
    <w:proofErr w:type="spellStart"/>
    <w:proofErr w:type="gramStart"/>
    <w:r>
      <w:rPr>
        <w:b/>
        <w:i/>
        <w:color w:val="000000"/>
        <w:sz w:val="18"/>
      </w:rPr>
      <w:t>Go</w:t>
    </w:r>
    <w:proofErr w:type="spellEnd"/>
    <w:proofErr w:type="gramEnd"/>
    <w:r>
      <w:rPr>
        <w:b/>
        <w:i/>
        <w:color w:val="000000"/>
        <w:sz w:val="18"/>
      </w:rPr>
      <w:t xml:space="preserve"> / </w:t>
    </w:r>
    <w:proofErr w:type="spellStart"/>
    <w:r>
      <w:rPr>
        <w:b/>
        <w:i/>
        <w:color w:val="000000"/>
        <w:sz w:val="18"/>
      </w:rPr>
      <w:t>Cep</w:t>
    </w:r>
    <w:proofErr w:type="spellEnd"/>
    <w:r>
      <w:rPr>
        <w:b/>
        <w:i/>
        <w:color w:val="000000"/>
        <w:sz w:val="18"/>
      </w:rPr>
      <w:t>: 74083-105  -   Fone:(062)3201-3986</w:t>
    </w:r>
  </w:p>
  <w:p w:rsidR="00A7328C" w:rsidRDefault="00A7328C" w:rsidP="00A7328C">
    <w:pPr>
      <w:pStyle w:val="Footer"/>
      <w:pBdr>
        <w:top w:val="single" w:sz="4" w:space="0" w:color="000000"/>
      </w:pBdr>
      <w:jc w:val="center"/>
    </w:pPr>
    <w:proofErr w:type="gramStart"/>
    <w:r>
      <w:rPr>
        <w:rStyle w:val="LinkdaInternet"/>
        <w:rFonts w:ascii="Calibri" w:hAnsi="Calibri" w:cs="Calibri"/>
        <w:b/>
        <w:i/>
        <w:color w:val="000000"/>
        <w:sz w:val="18"/>
      </w:rPr>
      <w:t>e-mail</w:t>
    </w:r>
    <w:proofErr w:type="gramEnd"/>
    <w:r>
      <w:rPr>
        <w:rStyle w:val="LinkdaInternet"/>
        <w:rFonts w:ascii="Calibri" w:hAnsi="Calibri" w:cs="Calibri"/>
        <w:b/>
        <w:i/>
        <w:color w:val="000000"/>
        <w:sz w:val="18"/>
      </w:rPr>
      <w:t>: transplantes.saude@goias.gov.br</w:t>
    </w:r>
  </w:p>
  <w:p w:rsidR="00245997" w:rsidRDefault="00245997" w:rsidP="00A7328C">
    <w:pPr>
      <w:pStyle w:val="Footer"/>
      <w:pBdr>
        <w:top w:val="single" w:sz="4" w:space="0" w:color="000000"/>
      </w:pBdr>
      <w:jc w:val="center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8C" w:rsidRDefault="00A732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997" w:rsidRDefault="00245997" w:rsidP="00245997">
      <w:r>
        <w:separator/>
      </w:r>
    </w:p>
  </w:footnote>
  <w:footnote w:type="continuationSeparator" w:id="1">
    <w:p w:rsidR="00245997" w:rsidRDefault="00245997" w:rsidP="00245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8C" w:rsidRDefault="00A7328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97" w:rsidRDefault="00245997">
    <w:pPr>
      <w:pStyle w:val="Header"/>
      <w:rPr>
        <w:rFonts w:hint="eastAsia"/>
      </w:rPr>
    </w:pPr>
    <w:r>
      <w:rPr>
        <w:rFonts w:hint="eastAsia"/>
      </w:rPr>
      <w:pict>
        <v:rect id="Forma1" o:spid="_x0000_s1025" style="position:absolute;margin-left:392.8pt;margin-top:-30.05pt;width:92.05pt;height:56.25pt;z-index:251658240;v-text-anchor:middle-center" stroked="f" strokecolor="#3465a4">
          <v:fill color2="black" o:detectmouseclick="t"/>
          <v:stroke joinstyle="round"/>
          <v:textbox>
            <w:txbxContent>
              <w:p w:rsidR="00245997" w:rsidRDefault="00A7328C">
                <w:pPr>
                  <w:jc w:val="center"/>
                  <w:rPr>
                    <w:rFonts w:hint="eastAsia"/>
                  </w:rPr>
                </w:pPr>
                <w:proofErr w:type="gramStart"/>
                <w:r>
                  <w:rPr>
                    <w:b/>
                    <w:bCs/>
                    <w:sz w:val="20"/>
                    <w:szCs w:val="20"/>
                  </w:rPr>
                  <w:t>CET.</w:t>
                </w:r>
                <w:proofErr w:type="gramEnd"/>
                <w:r>
                  <w:rPr>
                    <w:b/>
                    <w:bCs/>
                    <w:sz w:val="20"/>
                    <w:szCs w:val="20"/>
                  </w:rPr>
                  <w:t xml:space="preserve">CDOT.026 </w:t>
                </w:r>
                <w:r>
                  <w:rPr>
                    <w:b/>
                    <w:bCs/>
                    <w:sz w:val="20"/>
                    <w:szCs w:val="20"/>
                  </w:rPr>
                  <w:t>Fl1 Ed. 1/2021</w:t>
                </w:r>
              </w:p>
            </w:txbxContent>
          </v:textbox>
        </v:rect>
      </w:pict>
    </w:r>
    <w:r w:rsidR="00A7328C">
      <w:rPr>
        <w:noProof/>
        <w:lang w:eastAsia="pt-BR" w:bidi="ar-SA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564515</wp:posOffset>
          </wp:positionH>
          <wp:positionV relativeFrom="paragraph">
            <wp:posOffset>-647700</wp:posOffset>
          </wp:positionV>
          <wp:extent cx="4076700" cy="112395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8C" w:rsidRDefault="00A7328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95CDE"/>
    <w:multiLevelType w:val="multilevel"/>
    <w:tmpl w:val="3648C7C0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5997"/>
    <w:rsid w:val="00245997"/>
    <w:rsid w:val="00A7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97"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245997"/>
    <w:pPr>
      <w:keepNext/>
      <w:numPr>
        <w:numId w:val="1"/>
      </w:numPr>
      <w:spacing w:line="360" w:lineRule="auto"/>
      <w:ind w:left="284" w:firstLine="0"/>
      <w:jc w:val="both"/>
      <w:outlineLvl w:val="0"/>
    </w:pPr>
    <w:rPr>
      <w:rFonts w:ascii="Arial" w:hAnsi="Arial" w:cs="Arial"/>
    </w:rPr>
  </w:style>
  <w:style w:type="character" w:customStyle="1" w:styleId="LinkdaInternet">
    <w:name w:val="Link da Internet"/>
    <w:rsid w:val="00245997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rsid w:val="00245997"/>
    <w:rPr>
      <w:color w:val="800080"/>
      <w:u w:val="single"/>
    </w:rPr>
  </w:style>
  <w:style w:type="character" w:customStyle="1" w:styleId="WW8Num2z0">
    <w:name w:val="WW8Num2z0"/>
    <w:qFormat/>
    <w:rsid w:val="00245997"/>
    <w:rPr>
      <w:rFonts w:ascii="Symbol" w:hAnsi="Symbol" w:cs="OpenSymbol;Arial Unicode MS"/>
    </w:rPr>
  </w:style>
  <w:style w:type="character" w:customStyle="1" w:styleId="Fontepargpadro7">
    <w:name w:val="Fonte parág. padrão7"/>
    <w:qFormat/>
    <w:rsid w:val="00245997"/>
  </w:style>
  <w:style w:type="paragraph" w:styleId="Ttulo">
    <w:name w:val="Title"/>
    <w:basedOn w:val="Normal"/>
    <w:next w:val="Corpodetexto"/>
    <w:qFormat/>
    <w:rsid w:val="0024599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245997"/>
    <w:pPr>
      <w:spacing w:after="140" w:line="288" w:lineRule="auto"/>
    </w:pPr>
  </w:style>
  <w:style w:type="paragraph" w:styleId="Lista">
    <w:name w:val="List"/>
    <w:basedOn w:val="Corpodetexto"/>
    <w:rsid w:val="00245997"/>
  </w:style>
  <w:style w:type="paragraph" w:customStyle="1" w:styleId="Caption">
    <w:name w:val="Caption"/>
    <w:basedOn w:val="Normal"/>
    <w:qFormat/>
    <w:rsid w:val="0024599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245997"/>
    <w:pPr>
      <w:suppressLineNumbers/>
    </w:pPr>
  </w:style>
  <w:style w:type="paragraph" w:customStyle="1" w:styleId="Contedodatabela">
    <w:name w:val="Conteúdo da tabela"/>
    <w:basedOn w:val="Normal"/>
    <w:qFormat/>
    <w:rsid w:val="00245997"/>
    <w:pPr>
      <w:suppressLineNumbers/>
    </w:pPr>
  </w:style>
  <w:style w:type="paragraph" w:styleId="NormalWeb">
    <w:name w:val="Normal (Web)"/>
    <w:basedOn w:val="Normal"/>
    <w:qFormat/>
    <w:rsid w:val="00245997"/>
    <w:pPr>
      <w:spacing w:before="100" w:after="119"/>
    </w:pPr>
  </w:style>
  <w:style w:type="paragraph" w:customStyle="1" w:styleId="CabealhoeRodap">
    <w:name w:val="Cabeçalho e Rodapé"/>
    <w:basedOn w:val="Normal"/>
    <w:qFormat/>
    <w:rsid w:val="00245997"/>
  </w:style>
  <w:style w:type="paragraph" w:customStyle="1" w:styleId="Footer">
    <w:name w:val="Footer"/>
    <w:basedOn w:val="Normal"/>
    <w:rsid w:val="00245997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245997"/>
    <w:pPr>
      <w:suppressLineNumbers/>
      <w:tabs>
        <w:tab w:val="center" w:pos="4819"/>
        <w:tab w:val="right" w:pos="9638"/>
      </w:tabs>
    </w:pPr>
  </w:style>
  <w:style w:type="paragraph" w:styleId="Recuodecorpodetexto">
    <w:name w:val="Body Text Indent"/>
    <w:basedOn w:val="Normal"/>
    <w:rsid w:val="00245997"/>
    <w:pPr>
      <w:spacing w:after="120"/>
      <w:ind w:left="283"/>
    </w:pPr>
  </w:style>
  <w:style w:type="paragraph" w:customStyle="1" w:styleId="Default">
    <w:name w:val="Default"/>
    <w:qFormat/>
    <w:rsid w:val="00245997"/>
    <w:pPr>
      <w:widowControl w:val="0"/>
    </w:pPr>
    <w:rPr>
      <w:rFonts w:ascii="Times New Roman" w:hAnsi="Times New Roman"/>
      <w:color w:val="000000"/>
    </w:rPr>
  </w:style>
  <w:style w:type="paragraph" w:customStyle="1" w:styleId="Contedodetabela">
    <w:name w:val="Conteúdo de tabela"/>
    <w:basedOn w:val="Normal"/>
    <w:qFormat/>
    <w:rsid w:val="00245997"/>
    <w:pPr>
      <w:suppressLineNumbers/>
    </w:pPr>
  </w:style>
  <w:style w:type="paragraph" w:customStyle="1" w:styleId="LO-Normal">
    <w:name w:val="LO-Normal"/>
    <w:basedOn w:val="Normal"/>
    <w:qFormat/>
    <w:rsid w:val="00245997"/>
    <w:pPr>
      <w:autoSpaceDE w:val="0"/>
    </w:pPr>
    <w:rPr>
      <w:rFonts w:ascii="Times New Roman" w:eastAsia="Times New Roman" w:hAnsi="Times New Roman" w:cs="Times New Roman"/>
      <w:color w:val="000000"/>
    </w:rPr>
  </w:style>
  <w:style w:type="numbering" w:customStyle="1" w:styleId="WW8Num2">
    <w:name w:val="WW8Num2"/>
    <w:qFormat/>
    <w:rsid w:val="00245997"/>
  </w:style>
  <w:style w:type="paragraph" w:styleId="Cabealho">
    <w:name w:val="header"/>
    <w:basedOn w:val="Normal"/>
    <w:link w:val="CabealhoChar"/>
    <w:uiPriority w:val="99"/>
    <w:semiHidden/>
    <w:unhideWhenUsed/>
    <w:rsid w:val="00A7328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7328C"/>
    <w:rPr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A7328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A7328C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270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crer</cp:lastModifiedBy>
  <cp:revision>43</cp:revision>
  <cp:lastPrinted>2018-08-06T11:53:00Z</cp:lastPrinted>
  <dcterms:created xsi:type="dcterms:W3CDTF">2018-06-14T11:21:00Z</dcterms:created>
  <dcterms:modified xsi:type="dcterms:W3CDTF">2021-06-09T16:32:00Z</dcterms:modified>
  <dc:language>pt-BR</dc:language>
</cp:coreProperties>
</file>